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ind w:firstLine="708" w:left="0" w:right="0"/>
        <w:jc w:val="both"/>
        <w:rPr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40041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ind w:firstLine="708" w:left="0" w:right="0"/>
        <w:jc w:val="both"/>
        <w:rPr/>
      </w:pPr>
      <w:r>
        <w:rPr/>
      </w:r>
    </w:p>
    <w:p>
      <w:pPr>
        <w:pStyle w:val="style0"/>
        <w:ind w:hanging="0" w:left="0" w:righ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Настоящее положение о кафедре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русского языка </w:t>
      </w:r>
      <w:r>
        <w:rPr>
          <w:rFonts w:ascii="Times New Roman" w:hAnsi="Times New Roman"/>
          <w:sz w:val="28"/>
          <w:szCs w:val="28"/>
        </w:rPr>
        <w:t>(далее по тексту - Кафедра) Государственного бюджетного образовательного учреждения высшего профессионального образования «Астраханский Государственный медицинский университет» Министерства здравоохранения Российской Федерации (далее – ГБОУ ВПО Астраханский ГМУ Минздрава России). Положение определяет основные задачи, функции,  состав и структуру кафедры, ее права, ответственность, порядок организации деятельности и взаимодействие с другими подразделениями Университета, а также сторонними организациями.</w:t>
      </w:r>
    </w:p>
    <w:p>
      <w:pPr>
        <w:pStyle w:val="style22"/>
        <w:numPr>
          <w:ilvl w:val="0"/>
          <w:numId w:val="1"/>
        </w:numPr>
        <w:ind w:hanging="360" w:left="0" w:righ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</w:t>
      </w:r>
    </w:p>
    <w:p>
      <w:pPr>
        <w:pStyle w:val="style22"/>
        <w:numPr>
          <w:ilvl w:val="1"/>
          <w:numId w:val="1"/>
        </w:numPr>
        <w:spacing w:after="240" w:before="0"/>
        <w:ind w:hanging="360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Кафедра является основным структурным подразделением ГБОУ ВПО Астраханского ГМУ Минздрава России, осуществляющим учебную, учебно-методическую, научную и организационно-воспитательную работу. Кафедра подчиняется ректору Астраханского ГМУ, проректору по учебно-методической работе и декану лечебного факультета.</w:t>
      </w:r>
    </w:p>
    <w:p>
      <w:pPr>
        <w:pStyle w:val="style22"/>
        <w:numPr>
          <w:ilvl w:val="1"/>
          <w:numId w:val="1"/>
        </w:numPr>
        <w:spacing w:after="240" w:before="0"/>
        <w:ind w:hanging="360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Кафедра была организована в 1993 году. Кафедра может быть реорганизована или ликвидирована приказом ректора на основании решения Ученого Совета Университета.</w:t>
      </w:r>
    </w:p>
    <w:p>
      <w:pPr>
        <w:pStyle w:val="style22"/>
        <w:numPr>
          <w:ilvl w:val="1"/>
          <w:numId w:val="1"/>
        </w:numPr>
        <w:spacing w:after="240" w:before="0"/>
        <w:ind w:hanging="360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Кафедра в своей деятельности руководствуется действующим законодательством Российской федерации, Государственными образовательными стандартами, приказами и распоряжениями Министерства образования и науки и Минздрава России, Уставом Университета, приказами и распоряжения ректора (проректоров),  решениями декана факультета и настоящим положением.</w:t>
      </w:r>
    </w:p>
    <w:p>
      <w:pPr>
        <w:pStyle w:val="style22"/>
        <w:numPr>
          <w:ilvl w:val="1"/>
          <w:numId w:val="1"/>
        </w:numPr>
        <w:spacing w:after="240" w:before="0"/>
        <w:ind w:hanging="360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Работа кафедры осуществляется в соответствии с годовыми планами работы по всем видам деятельности: учебной, методической, научной, организационной, воспитательной.</w:t>
      </w:r>
    </w:p>
    <w:p>
      <w:pPr>
        <w:pStyle w:val="style22"/>
        <w:numPr>
          <w:ilvl w:val="1"/>
          <w:numId w:val="1"/>
        </w:numPr>
        <w:spacing w:after="240" w:before="0"/>
        <w:ind w:hanging="360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Деятельность кафедры финансируется из средств вуза, образуемых из бюджетных ассигнований и внебюджетных источников.</w:t>
      </w:r>
    </w:p>
    <w:p>
      <w:pPr>
        <w:pStyle w:val="style22"/>
        <w:tabs>
          <w:tab w:leader="none" w:pos="7995" w:val="left"/>
        </w:tabs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tabs>
          <w:tab w:leader="none" w:pos="7995" w:val="left"/>
        </w:tabs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2.Основные задачи кафедры</w:t>
      </w:r>
    </w:p>
    <w:p>
      <w:pPr>
        <w:pStyle w:val="style0"/>
        <w:shd w:fill="FFFFFF" w:val="clear"/>
        <w:spacing w:after="0" w:before="0" w:line="100" w:lineRule="atLeast"/>
        <w:ind w:firstLine="709" w:left="0" w:right="0"/>
        <w:contextualSpacing w:val="false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2.1 Организация и выполнение учебной, методической и научной работы в рамках в соответствующих профилю кафедры образовательных программ, приведенных в Приложении 3, предусмотренных Государственными образовательными стандартами и учебными планами подготовки; факультативных дисциплин и курсов по профилю кафедры, включенных в программы и учебные планы послевузовского и дополнительного образования.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Проведение лекционных и практических занятия по русскому языку с иностранными студентами 1-4 курсов лечебного, педиатрического, стоматологического, фармацевтического факультетов, слушателями подготовительного отделения; по русскому языку и культуре речи со студентами 1 курса лечебного, стоматологического, педиатрического, медико-профилактического факультетов и факультета клинической психологии; по психолингвистике со студентами 1 курса факультета клинической психологии, по стилистике со студентами 4 курса МВСО.</w:t>
      </w:r>
    </w:p>
    <w:p>
      <w:pPr>
        <w:pStyle w:val="style22"/>
        <w:spacing w:after="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2.2 Осуществление учебной, научной (привлечение студентов к НИР)   и воспитательной работы среди студентов в их неразрывном единстве.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>2.3 Разработка учебно-методического комплекса для обеспечения учебного процесса, и совершенствование методического обеспечения. Внедрение в учебный процесс современных педагогических технологий.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Функции кафедры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Осуществляет учебную, учебно-методическую, научную работу по дисциплинам, закрепленным за Кафедрой, на высоком научном и методическом уровне с использованием современных средств, методов и технологий обучения.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Проводит аудиторные учебные занятия – лекции, практические занятия, семинары, лабораторные работы в соответствии с учебной нагрузкой и согласно расписанию, утвержденному ректором (проректором по учебно-методической работе) Университета.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 Осуществляет в установленном порядке консультирование студентов, аспирантов, докторантов, а также обучающихся по программам профессиональной переподготовки специалистов с высшим образованием (программам дополнительного образования) по преподаваемым дисциплинам и курсам в объеме, определяемом действующими нормативами учебной нагрузки.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 Рационально организует и регулярно контролирует аудиторную и внеаудиторную самостоятельную работу студентов.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 Осуществляет промежуточную и итоговую (коллоквиумы, зачеты и экзамены) аттестацию учащихся по усвоению ими программного материала.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 Выполняет необходимый объем учебно-методической работы для проведения учебного процесса на высоком уровне: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разрабатывает и представляет на утверждение в установленном порядке рабочие учебные программы по дисциплинам и курсам кафедры;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осуществляет, используя современные информационные технологии, подготовки и обновление учебников, учебных и учебно-методических пособий, методических указаний, дидактических материалов по проведению различных видов учебных занятий и выполнению студентам самостоятельной работы, наглядных пособий, программных и информационных материалов, необходимых для компьютеризации учебного процесса.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 Осуществляет воспитательную работу среди студентов. В том числе через действующую в вузе систему кураторства, взаимодействуя со студенческими общественными организациями, студенческим научным обществом, участвуя в мероприятиях, предусмотренных ежегодными планами  учебно-воспитательной и внеаудиторной работы со студентами Университета.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 Разрабатывает ежегодные и перспективные планы повышения квалификации работников кафедры, представляет их на утверждение организует и контролирует их выполнение; содействует работникам кафедры в их творческом росте, в том числе путем прикрепления начинающих преподавателей к ведущим профессорам и доцентам, проведения и обсуждения на методическом семинаре открытых лекций и других видов учебных занятий, изучения и распространения передового педагогического опыта; создает необходимые условия для работы преподавателей и научных сотрудников над кандидатскими и докторскими диссертациями, организует заинтересованные обсуждения диссертаций, содействует участию работников кафедры в конференциях и публикациях результатов исследований. 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 Проводит соответствующие ее профилю научные, научно-исследовательские работы в области теории методики высшего образования; привлекает к научно-исследовательской работе студентов и аспирантов; оказывает предприятиям, организациям  и учреждениям консультативные услуги; участвует в обсуждению и экспертизе законченных научно-исследовательских работ; вносит заключения об их научной и практической значимости, а также дает рекомендации по их внедрению в практику и опубликованию.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 Осуществляет работу по развитию кафедральной материально-технической и учебно-лабораторной базы, используя для этих целей прямые связи с отраслевыми предприятиями и организациями национальными обществами, министерством культуры.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 Участвует в организации и проведении учебных занятий довузовской подготовки, проводит работу по профессиональной ориентации молодежи.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4.Руководство кафедрой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Кафедру возглавляет заведующий, избираемый по конкурсу Ученым Советом Университета по представлению Ученого Совета факультета. Кандидатуру заведующего кафедрой для рассмотрения на Ученом Совете факультета и представления Ученому Совету Университета вносит ректор из числа ведущих профессоров, доцентов, а также крупных специалистов соответствующей области науки. Выборы заведующего кафедрой проводятся на заседании Ученого Совета Университета путем тайного голосования в соответствии с Уставом вуза. Принятое Ученым Советом решение утверждается приказом ректора. Право постановки вопроса об  освобождении от должности заведующего кафедрой Ученым Советом Университета  принадлежит ректору, декану и Ученому Совету лечебного факультета.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Структура и кадровый  состав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 Структуру и штатное расписание кафедры, а также изменения в них утверждает ректор Университета на основе нормативного соотношения численности профессорско-преподавательского состава и студентов и с учетом объемов и специфики работы других категорий работников (см. Приложение 3).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Штатное расписание кафедры включает: профессорско-преподавательский состав (ППС) – заведующего кафедрой, профессоров, доцентов, старших преподавателей, ассистентов; учебно-вспомогательный персонал (УВП) заведующего лабораторией, старших лаборантов, лаборантов, уборщиков, работающих на постоянной основе и по совместительству. В штат кафедры могут входить научные сотрудники, аспиранты и докторанты.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 Замещение должностей ППС и научных работников, за исключением должности заведующего кафедрой, проводится по трудовому договору, заключаемому с  соответствующим работником на срок до пяти лет. Заключению трудового договора предшествует конкурсный отбор, проводимый в соответствии с Уставом Университета.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  На должности УВП лица зачисляются приказом ректора. 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 Сотрудники кафедры регулярно повышают квалификацию путем стажировки, обучения  в институтах, на факультетах и в центрах повышения квалификации, участия в научно-исследовательской и педагогической работе, научных конференциях, семинарах, симпозиумах.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5.6 Полномочия, права, обязанности, ответственность, требования к квалификации персонала кафедры определяются соответствующими должностными инструкциями сотрудников. 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кафедры приведена в Приложении 3.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Права и обязанности сотрудников кафедры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Сотрудники кафедры имеют право: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избирать и быть избранными в органы управления Университета (факультета);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участвовать по согласованию с заведующим кафедрой в научно-технических и научно-методических конференциях, семинарах, совещаниях, публиковать результаты исследований, проводимых в соответствии с планами и программами научно-исследовательских работ кафедры Университета;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запрашивать и получать необходимую для выполнения своих функций информацию по вопросам работы подразделений Университета;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участвовать во внебюджетной деятельности Университета;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обращаться с предложениями, жалобами, заявлениями и получать ответы на свои обращения.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 Сотрудники кафедры имеют другие права. Предусмотренные трудовым законодательством РФ и Уставом Университета.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 Сотрудники кафедры обязаны: 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выполнять должностные обязанности, индивидуальные планы работы, поручения заведующего кафедрой;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участвовать в общих мероприятиях кафедры, факультета и Университета;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соблюдать трудовую дисциплину и правила внутреннего трудового распорядка в соответствии с нормами по охране труда и правилами внутреннего трудового распорядка Университета;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систематически повышать свою квалификацию.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взаимодействие с другими структурными подразделениями Астраханского ГМУ и сторонними организациями представлено в Приложении 1.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Ответственность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 Ответственность за качество и своевременность выполнения возложенных настоящим Положением на кафедру задач и функций, выполнение плана работы по всем направлениям деятельности, а также за создание условий для эффективной работы своих подчиненных несет заведующий кафедрой и остальные сотрудники кафедры см. Приложение 2. </w:t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after="240" w:before="0"/>
        <w:ind w:firstLine="709" w:left="0" w:righ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ind w:hanging="0" w:left="1068"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>
      <w:pPr>
        <w:pStyle w:val="style22"/>
        <w:ind w:hanging="0" w:left="1068"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ind w:hanging="0" w:left="1068" w:righ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Взаимодействие с подразделениями Университета и сторонними организациями</w:t>
      </w:r>
    </w:p>
    <w:p>
      <w:pPr>
        <w:pStyle w:val="style22"/>
        <w:ind w:hanging="0" w:left="1068" w:righ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tblW w:type="dxa" w:w="9355"/>
        <w:jc w:val="left"/>
        <w:tblInd w:type="dxa" w:w="0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  <w:right w:color="000001" w:space="0" w:sz="4" w:val="single"/>
          <w:insideV w:color="000001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552"/>
        <w:gridCol w:w="4506"/>
        <w:gridCol w:w="4297"/>
      </w:tblGrid>
      <w:tr>
        <w:trPr>
          <w:trHeight w:hRule="atLeast" w:val="190"/>
          <w:cantSplit w:val="false"/>
        </w:trPr>
        <w:tc>
          <w:tcPr>
            <w:tcW w:type="dxa" w:w="55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№</w:t>
            </w:r>
          </w:p>
        </w:tc>
        <w:tc>
          <w:tcPr>
            <w:tcW w:type="dxa" w:w="450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Кафедра </w:t>
            </w:r>
          </w:p>
        </w:tc>
        <w:tc>
          <w:tcPr>
            <w:tcW w:type="dxa" w:w="429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Учреждение или структурное подразделение Астраханского ГМУ </w:t>
            </w:r>
          </w:p>
        </w:tc>
      </w:tr>
      <w:tr>
        <w:trPr>
          <w:trHeight w:hRule="atLeast" w:val="619"/>
          <w:cantSplit w:val="false"/>
        </w:trPr>
        <w:tc>
          <w:tcPr>
            <w:tcW w:type="dxa" w:w="55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1.</w:t>
            </w:r>
          </w:p>
        </w:tc>
        <w:tc>
          <w:tcPr>
            <w:tcW w:type="dxa" w:w="450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Кафедра биологии и ботаники</w:t>
            </w:r>
          </w:p>
        </w:tc>
        <w:tc>
          <w:tcPr>
            <w:tcW w:type="dxa" w:w="429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Подготовительное отделение </w:t>
            </w:r>
          </w:p>
        </w:tc>
      </w:tr>
      <w:tr>
        <w:trPr>
          <w:trHeight w:hRule="atLeast" w:val="699"/>
          <w:cantSplit w:val="false"/>
        </w:trPr>
        <w:tc>
          <w:tcPr>
            <w:tcW w:type="dxa" w:w="55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2.</w:t>
            </w:r>
          </w:p>
        </w:tc>
        <w:tc>
          <w:tcPr>
            <w:tcW w:type="dxa" w:w="450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Кафедра физики, математики и медицинской информатики</w:t>
            </w:r>
          </w:p>
        </w:tc>
        <w:tc>
          <w:tcPr>
            <w:tcW w:type="dxa" w:w="429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Отдел по воспитательной работе.</w:t>
            </w:r>
          </w:p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</w:r>
          </w:p>
        </w:tc>
      </w:tr>
      <w:tr>
        <w:trPr>
          <w:trHeight w:hRule="atLeast" w:val="598"/>
          <w:cantSplit w:val="false"/>
        </w:trPr>
        <w:tc>
          <w:tcPr>
            <w:tcW w:type="dxa" w:w="552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3.</w:t>
            </w:r>
          </w:p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</w:r>
          </w:p>
        </w:tc>
        <w:tc>
          <w:tcPr>
            <w:tcW w:type="dxa" w:w="4506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Кафедра химии</w:t>
            </w:r>
          </w:p>
        </w:tc>
        <w:tc>
          <w:tcPr>
            <w:tcW w:type="dxa" w:w="4297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Управление по печати, международным и общественным связям. </w:t>
            </w:r>
          </w:p>
        </w:tc>
      </w:tr>
      <w:tr>
        <w:trPr>
          <w:trHeight w:hRule="atLeast" w:val="675"/>
          <w:cantSplit w:val="false"/>
        </w:trPr>
        <w:tc>
          <w:tcPr>
            <w:tcW w:type="dxa" w:w="552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4.</w:t>
            </w:r>
          </w:p>
        </w:tc>
        <w:tc>
          <w:tcPr>
            <w:tcW w:type="dxa" w:w="4506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  <w:t>Кафедра психологии и педагогики</w:t>
            </w:r>
            <w:r>
              <w:rPr>
                <w:rFonts w:ascii="Times New Roman" w:cs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type="dxa" w:w="4297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Факультет иностранных студентов</w:t>
            </w:r>
          </w:p>
        </w:tc>
      </w:tr>
      <w:tr>
        <w:trPr>
          <w:trHeight w:hRule="atLeast" w:val="675"/>
          <w:cantSplit w:val="false"/>
        </w:trPr>
        <w:tc>
          <w:tcPr>
            <w:tcW w:type="dxa" w:w="552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5.</w:t>
            </w:r>
          </w:p>
        </w:tc>
        <w:tc>
          <w:tcPr>
            <w:tcW w:type="dxa" w:w="4506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</w:r>
          </w:p>
        </w:tc>
        <w:tc>
          <w:tcPr>
            <w:tcW w:type="dxa" w:w="4297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Лечебный факультет</w:t>
            </w:r>
          </w:p>
        </w:tc>
      </w:tr>
      <w:tr>
        <w:trPr>
          <w:trHeight w:hRule="atLeast" w:val="675"/>
          <w:cantSplit w:val="false"/>
        </w:trPr>
        <w:tc>
          <w:tcPr>
            <w:tcW w:type="dxa" w:w="552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6.</w:t>
            </w:r>
          </w:p>
        </w:tc>
        <w:tc>
          <w:tcPr>
            <w:tcW w:type="dxa" w:w="4506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</w:r>
          </w:p>
        </w:tc>
        <w:tc>
          <w:tcPr>
            <w:tcW w:type="dxa" w:w="4297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Педиатрический факультет</w:t>
            </w:r>
          </w:p>
        </w:tc>
      </w:tr>
      <w:tr>
        <w:trPr>
          <w:trHeight w:hRule="atLeast" w:val="675"/>
          <w:cantSplit w:val="false"/>
        </w:trPr>
        <w:tc>
          <w:tcPr>
            <w:tcW w:type="dxa" w:w="552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7.</w:t>
            </w:r>
          </w:p>
        </w:tc>
        <w:tc>
          <w:tcPr>
            <w:tcW w:type="dxa" w:w="4506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</w:r>
          </w:p>
        </w:tc>
        <w:tc>
          <w:tcPr>
            <w:tcW w:type="dxa" w:w="4297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Стоматологический факультет</w:t>
            </w:r>
          </w:p>
        </w:tc>
      </w:tr>
      <w:tr>
        <w:trPr>
          <w:trHeight w:hRule="atLeast" w:val="675"/>
          <w:cantSplit w:val="false"/>
        </w:trPr>
        <w:tc>
          <w:tcPr>
            <w:tcW w:type="dxa" w:w="552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8.</w:t>
            </w:r>
          </w:p>
        </w:tc>
        <w:tc>
          <w:tcPr>
            <w:tcW w:type="dxa" w:w="4506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</w:r>
          </w:p>
        </w:tc>
        <w:tc>
          <w:tcPr>
            <w:tcW w:type="dxa" w:w="4297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Фармацевтический факультет</w:t>
            </w:r>
          </w:p>
        </w:tc>
      </w:tr>
      <w:tr>
        <w:trPr>
          <w:trHeight w:hRule="atLeast" w:val="675"/>
          <w:cantSplit w:val="false"/>
        </w:trPr>
        <w:tc>
          <w:tcPr>
            <w:tcW w:type="dxa" w:w="552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9.</w:t>
            </w:r>
          </w:p>
        </w:tc>
        <w:tc>
          <w:tcPr>
            <w:tcW w:type="dxa" w:w="4506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</w:r>
          </w:p>
        </w:tc>
        <w:tc>
          <w:tcPr>
            <w:tcW w:type="dxa" w:w="4297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Факультет клинической психологии</w:t>
            </w:r>
          </w:p>
        </w:tc>
      </w:tr>
      <w:tr>
        <w:trPr>
          <w:trHeight w:hRule="atLeast" w:val="675"/>
          <w:cantSplit w:val="false"/>
        </w:trPr>
        <w:tc>
          <w:tcPr>
            <w:tcW w:type="dxa" w:w="552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10.</w:t>
            </w:r>
          </w:p>
        </w:tc>
        <w:tc>
          <w:tcPr>
            <w:tcW w:type="dxa" w:w="4506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jc w:val="both"/>
              <w:rPr>
                <w:rFonts w:ascii="Times New Roman" w:cs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Cs/>
                <w:sz w:val="28"/>
                <w:szCs w:val="28"/>
              </w:rPr>
            </w:r>
          </w:p>
        </w:tc>
        <w:tc>
          <w:tcPr>
            <w:tcW w:type="dxa" w:w="4297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widowControl w:val="false"/>
              <w:spacing w:after="0" w:before="0" w:line="100" w:lineRule="atLeast"/>
              <w:contextualSpacing w:val="false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Медико-профилактический факультет</w:t>
            </w:r>
          </w:p>
        </w:tc>
      </w:tr>
      <w:tr>
        <w:trPr>
          <w:trHeight w:hRule="atLeast" w:val="675"/>
          <w:cantSplit w:val="false"/>
        </w:trPr>
        <w:tc>
          <w:tcPr>
            <w:tcW w:type="dxa" w:w="552"/>
            <w:tcBorders>
              <w:top w:color="00000A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11.</w:t>
            </w:r>
          </w:p>
        </w:tc>
        <w:tc>
          <w:tcPr>
            <w:tcW w:type="dxa" w:w="4506"/>
            <w:tcBorders>
              <w:top w:color="00000A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W w:type="dxa" w:w="4297"/>
            <w:tcBorders>
              <w:top w:color="00000A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rPr>
                <w:rFonts w:ascii="Times New Roman" w:cs="Times New Roman" w:hAnsi="Times New Roman"/>
                <w:b w:val="false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 w:val="false"/>
                <w:sz w:val="28"/>
                <w:szCs w:val="28"/>
              </w:rPr>
              <w:t>Факультет среднего медицинского образования (медицинский колледж)</w:t>
            </w:r>
          </w:p>
        </w:tc>
      </w:tr>
    </w:tbl>
    <w:p>
      <w:pPr>
        <w:pStyle w:val="style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style22"/>
        <w:ind w:hanging="0" w:left="1068" w:righ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style22"/>
        <w:ind w:hanging="0" w:left="1068"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style22"/>
        <w:ind w:hanging="0" w:left="1068"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style22"/>
        <w:ind w:hanging="0" w:left="1068"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style22"/>
        <w:ind w:hanging="0" w:left="1068"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style22"/>
        <w:ind w:hanging="0" w:left="1068"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style22"/>
        <w:ind w:hanging="0" w:left="1068"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>
      <w:pPr>
        <w:pStyle w:val="style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Матрица распределения ответственности </w:t>
      </w:r>
    </w:p>
    <w:p>
      <w:pPr>
        <w:pStyle w:val="style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полномочий персонала кафедры </w:t>
      </w:r>
    </w:p>
    <w:p>
      <w:pPr>
        <w:pStyle w:val="style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jc w:val="left"/>
        <w:tblInd w:type="dxa" w:w="0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  <w:right w:color="000001" w:space="0" w:sz="4" w:val="single"/>
          <w:insideV w:color="000001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95"/>
        <w:gridCol w:w="4037"/>
        <w:gridCol w:w="5074"/>
      </w:tblGrid>
      <w:tr>
        <w:trPr>
          <w:cantSplit w:val="false"/>
        </w:trPr>
        <w:tc>
          <w:tcPr>
            <w:tcW w:type="dxa" w:w="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type="dxa" w:w="40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Ф.И.О. сотрудника, должность</w:t>
            </w:r>
          </w:p>
        </w:tc>
        <w:tc>
          <w:tcPr>
            <w:tcW w:type="dxa" w:w="507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Сфера полномочий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указать, конкретизируя сферу полномочий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>
        <w:trPr>
          <w:cantSplit w:val="false"/>
        </w:trPr>
        <w:tc>
          <w:tcPr>
            <w:tcW w:type="dxa" w:w="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type="dxa" w:w="40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Сатретдинова А.Х., зав. кафедрой</w:t>
            </w:r>
          </w:p>
        </w:tc>
        <w:tc>
          <w:tcPr>
            <w:tcW w:type="dxa" w:w="507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Ответственная за научно-исследовательскую работу</w:t>
            </w:r>
          </w:p>
        </w:tc>
      </w:tr>
      <w:tr>
        <w:trPr>
          <w:cantSplit w:val="false"/>
        </w:trPr>
        <w:tc>
          <w:tcPr>
            <w:tcW w:type="dxa" w:w="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type="dxa" w:w="40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Самохина Г.А., старший преподаватель</w:t>
            </w:r>
          </w:p>
        </w:tc>
        <w:tc>
          <w:tcPr>
            <w:tcW w:type="dxa" w:w="507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учебно-методической частью</w:t>
            </w:r>
          </w:p>
        </w:tc>
      </w:tr>
      <w:tr>
        <w:trPr>
          <w:cantSplit w:val="false"/>
        </w:trPr>
        <w:tc>
          <w:tcPr>
            <w:tcW w:type="dxa" w:w="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type="dxa" w:w="40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Джулдузбаева З.Ж., старший преподаватель</w:t>
            </w:r>
          </w:p>
        </w:tc>
        <w:tc>
          <w:tcPr>
            <w:tcW w:type="dxa" w:w="507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Ответственная за воспитательную работу со студентами </w:t>
            </w:r>
          </w:p>
        </w:tc>
      </w:tr>
      <w:tr>
        <w:trPr>
          <w:cantSplit w:val="false"/>
        </w:trPr>
        <w:tc>
          <w:tcPr>
            <w:tcW w:type="dxa" w:w="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type="dxa" w:w="40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Травинская Н.М., старший преподаватель</w:t>
            </w:r>
          </w:p>
        </w:tc>
        <w:tc>
          <w:tcPr>
            <w:tcW w:type="dxa" w:w="507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Ответственная за профсоюзную работу</w:t>
            </w:r>
          </w:p>
        </w:tc>
      </w:tr>
      <w:tr>
        <w:trPr>
          <w:cantSplit w:val="false"/>
        </w:trPr>
        <w:tc>
          <w:tcPr>
            <w:tcW w:type="dxa" w:w="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type="dxa" w:w="40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Глухова Н.В., ассистент </w:t>
            </w:r>
          </w:p>
        </w:tc>
        <w:tc>
          <w:tcPr>
            <w:tcW w:type="dxa" w:w="507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студенческого кружка любителей русской словесности</w:t>
            </w:r>
          </w:p>
        </w:tc>
      </w:tr>
      <w:tr>
        <w:trPr>
          <w:cantSplit w:val="false"/>
        </w:trPr>
        <w:tc>
          <w:tcPr>
            <w:tcW w:type="dxa" w:w="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type="dxa" w:w="40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Матюшкова А.И.,    преподав.</w:t>
            </w:r>
          </w:p>
        </w:tc>
        <w:tc>
          <w:tcPr>
            <w:tcW w:type="dxa" w:w="507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Ответственная за сайт кафедры,  за качество образования</w:t>
            </w:r>
          </w:p>
        </w:tc>
      </w:tr>
      <w:tr>
        <w:trPr>
          <w:cantSplit w:val="false"/>
        </w:trPr>
        <w:tc>
          <w:tcPr>
            <w:tcW w:type="dxa" w:w="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type="dxa" w:w="40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Уразгалиева О. А., ст. лаборант</w:t>
            </w:r>
          </w:p>
        </w:tc>
        <w:tc>
          <w:tcPr>
            <w:tcW w:type="dxa" w:w="507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Ответственная за ведение документации</w:t>
            </w:r>
          </w:p>
        </w:tc>
      </w:tr>
      <w:tr>
        <w:trPr>
          <w:cantSplit w:val="false"/>
        </w:trPr>
        <w:tc>
          <w:tcPr>
            <w:tcW w:type="dxa" w:w="49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type="dxa" w:w="403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Рулёва А.А., лаборант</w:t>
            </w:r>
          </w:p>
        </w:tc>
        <w:tc>
          <w:tcPr>
            <w:tcW w:type="dxa" w:w="507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Секретарь заседаний кафедры</w:t>
            </w:r>
          </w:p>
        </w:tc>
      </w:tr>
    </w:tbl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3</w:t>
      </w:r>
    </w:p>
    <w:p>
      <w:pPr>
        <w:pStyle w:val="style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кафедры русского языка</w:t>
      </w:r>
    </w:p>
    <w:p>
      <w:pPr>
        <w:pStyle w:val="style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tblW w:type="dxa" w:w="9355"/>
        <w:jc w:val="left"/>
        <w:tblInd w:type="dxa" w:w="0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  <w:right w:color="000001" w:space="0" w:sz="4" w:val="single"/>
          <w:insideV w:color="000001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898"/>
        <w:gridCol w:w="5450"/>
        <w:gridCol w:w="3007"/>
      </w:tblGrid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Структура </w:t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комнаты</w:t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 зав. кафедрой</w:t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Ассистентская </w:t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tcW w:type="dxa" w:w="898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type="dxa" w:w="5450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type="dxa" w:w="3007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style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Штатное расписание</w:t>
      </w:r>
    </w:p>
    <w:tbl>
      <w:tblPr>
        <w:tblW w:type="dxa" w:w="9355"/>
        <w:jc w:val="left"/>
        <w:tblInd w:type="dxa" w:w="0"/>
        <w:tblBorders>
          <w:top w:color="000001" w:space="0" w:sz="4" w:val="single"/>
          <w:left w:color="000001" w:space="0" w:sz="4" w:val="single"/>
          <w:bottom w:color="000001" w:space="0" w:sz="4" w:val="single"/>
          <w:insideH w:color="000001" w:space="0" w:sz="4" w:val="single"/>
          <w:right w:color="000001" w:space="0" w:sz="4" w:val="single"/>
          <w:insideV w:color="000001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724"/>
        <w:gridCol w:w="6082"/>
        <w:gridCol w:w="2549"/>
      </w:tblGrid>
      <w:tr>
        <w:trPr>
          <w:cantSplit w:val="false"/>
        </w:trPr>
        <w:tc>
          <w:tcPr>
            <w:tcW w:type="dxa" w:w="7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type="dxa" w:w="608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type="dxa" w:w="254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>
        <w:trPr>
          <w:cantSplit w:val="false"/>
        </w:trPr>
        <w:tc>
          <w:tcPr>
            <w:tcW w:type="dxa" w:w="7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type="dxa" w:w="608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Зав. кафедрой, к.ф.н, доцент</w:t>
            </w:r>
          </w:p>
        </w:tc>
        <w:tc>
          <w:tcPr>
            <w:tcW w:type="dxa" w:w="254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cantSplit w:val="false"/>
        </w:trPr>
        <w:tc>
          <w:tcPr>
            <w:tcW w:type="dxa" w:w="7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type="dxa" w:w="608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Доцент, к.ф.н.</w:t>
            </w:r>
          </w:p>
        </w:tc>
        <w:tc>
          <w:tcPr>
            <w:tcW w:type="dxa" w:w="254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>
        <w:trPr>
          <w:cantSplit w:val="false"/>
        </w:trPr>
        <w:tc>
          <w:tcPr>
            <w:tcW w:type="dxa" w:w="7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type="dxa" w:w="608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Старш. препод. без степени</w:t>
            </w:r>
          </w:p>
        </w:tc>
        <w:tc>
          <w:tcPr>
            <w:tcW w:type="dxa" w:w="254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>
        <w:trPr>
          <w:cantSplit w:val="false"/>
        </w:trPr>
        <w:tc>
          <w:tcPr>
            <w:tcW w:type="dxa" w:w="72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type="dxa" w:w="608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Ассистент со степенью</w:t>
            </w:r>
          </w:p>
        </w:tc>
        <w:tc>
          <w:tcPr>
            <w:tcW w:type="dxa" w:w="2549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spacing w:after="0" w:before="0" w:line="100" w:lineRule="atLeast"/>
              <w:contextualSpacing w:val="fals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724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type="dxa" w:w="6082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Ассистент без степени</w:t>
            </w:r>
          </w:p>
        </w:tc>
        <w:tc>
          <w:tcPr>
            <w:tcW w:type="dxa" w:w="2549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>
        <w:trPr>
          <w:trHeight w:hRule="atLeast" w:val="345"/>
          <w:cantSplit w:val="false"/>
        </w:trPr>
        <w:tc>
          <w:tcPr>
            <w:tcW w:type="dxa" w:w="724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type="dxa" w:w="6082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 без степени</w:t>
            </w:r>
          </w:p>
        </w:tc>
        <w:tc>
          <w:tcPr>
            <w:tcW w:type="dxa" w:w="2549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>
        <w:trPr>
          <w:trHeight w:hRule="atLeast" w:val="337"/>
          <w:cantSplit w:val="false"/>
        </w:trPr>
        <w:tc>
          <w:tcPr>
            <w:tcW w:type="dxa" w:w="724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type="dxa" w:w="6082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лаборант</w:t>
            </w:r>
          </w:p>
        </w:tc>
        <w:tc>
          <w:tcPr>
            <w:tcW w:type="dxa" w:w="2549"/>
            <w:tcBorders>
              <w:top w:color="00000A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trHeight w:hRule="atLeast" w:val="540"/>
          <w:cantSplit w:val="false"/>
        </w:trPr>
        <w:tc>
          <w:tcPr>
            <w:tcW w:type="dxa" w:w="724"/>
            <w:tcBorders>
              <w:top w:color="00000A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type="dxa" w:w="6082"/>
            <w:tcBorders>
              <w:top w:color="00000A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Лаборант </w:t>
            </w:r>
          </w:p>
        </w:tc>
        <w:tc>
          <w:tcPr>
            <w:tcW w:type="dxa" w:w="2549"/>
            <w:tcBorders>
              <w:top w:color="00000A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type="dxa" w:w="108"/>
            </w:tcMar>
          </w:tcPr>
          <w:p>
            <w:pPr>
              <w:pStyle w:val="style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>
      <w:pPr>
        <w:pStyle w:val="style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0"/>
        <w:jc w:val="center"/>
        <w:rPr/>
      </w:pPr>
      <w:r>
        <w:rPr/>
      </w:r>
    </w:p>
    <w:p>
      <w:pPr>
        <w:pStyle w:val="style0"/>
        <w:jc w:val="both"/>
        <w:rPr/>
      </w:pPr>
      <w:r>
        <w:rPr/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400415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ind w:hanging="360" w:left="1068"/>
      </w:pPr>
    </w:lvl>
    <w:lvl w:ilvl="1">
      <w:start w:val="1"/>
      <w:numFmt w:val="decimal"/>
      <w:lvlText w:val="%1.%2"/>
      <w:lvlJc w:val="left"/>
      <w:pPr>
        <w:ind w:hanging="360" w:left="1428"/>
      </w:pPr>
    </w:lvl>
    <w:lvl w:ilvl="2">
      <w:start w:val="1"/>
      <w:numFmt w:val="decimal"/>
      <w:lvlText w:val="%1.%2.%3"/>
      <w:lvlJc w:val="left"/>
      <w:pPr>
        <w:ind w:hanging="720" w:left="2148"/>
      </w:pPr>
    </w:lvl>
    <w:lvl w:ilvl="3">
      <w:start w:val="1"/>
      <w:numFmt w:val="decimal"/>
      <w:lvlText w:val="%1.%2.%3.%4"/>
      <w:lvlJc w:val="left"/>
      <w:pPr>
        <w:ind w:hanging="720" w:left="2508"/>
      </w:pPr>
    </w:lvl>
    <w:lvl w:ilvl="4">
      <w:start w:val="1"/>
      <w:numFmt w:val="decimal"/>
      <w:lvlText w:val="%1.%2.%3.%4.%5"/>
      <w:lvlJc w:val="left"/>
      <w:pPr>
        <w:ind w:hanging="1080" w:left="3228"/>
      </w:pPr>
    </w:lvl>
    <w:lvl w:ilvl="5">
      <w:start w:val="1"/>
      <w:numFmt w:val="decimal"/>
      <w:lvlText w:val="%1.%2.%3.%4.%5.%6"/>
      <w:lvlJc w:val="left"/>
      <w:pPr>
        <w:ind w:hanging="1080" w:left="3588"/>
      </w:pPr>
    </w:lvl>
    <w:lvl w:ilvl="6">
      <w:start w:val="1"/>
      <w:numFmt w:val="decimal"/>
      <w:lvlText w:val="%1.%2.%3.%4.%5.%6.%7"/>
      <w:lvlJc w:val="left"/>
      <w:pPr>
        <w:ind w:hanging="1440" w:left="4308"/>
      </w:pPr>
    </w:lvl>
    <w:lvl w:ilvl="7">
      <w:start w:val="1"/>
      <w:numFmt w:val="decimal"/>
      <w:lvlText w:val="%1.%2.%3.%4.%5.%6.%7.%8"/>
      <w:lvlJc w:val="left"/>
      <w:pPr>
        <w:ind w:hanging="1440" w:left="4668"/>
      </w:pPr>
    </w:lvl>
    <w:lvl w:ilvl="8">
      <w:start w:val="1"/>
      <w:numFmt w:val="decimal"/>
      <w:lvlText w:val="%1.%2.%3.%4.%5.%6.%7.%8.%9"/>
      <w:lvlJc w:val="left"/>
      <w:pPr>
        <w:ind w:hanging="1440" w:left="5028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" w:eastAsia="SimSun" w:hAnsi="Calibri"/>
      <w:color w:val="auto"/>
      <w:sz w:val="22"/>
      <w:szCs w:val="22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Выделение жирным"/>
    <w:basedOn w:val="style15"/>
    <w:next w:val="style16"/>
    <w:rPr>
      <w:b/>
      <w:bCs/>
    </w:rPr>
  </w:style>
  <w:style w:styleId="style17" w:type="paragraph">
    <w:name w:val="Заголовок"/>
    <w:basedOn w:val="style0"/>
    <w:next w:val="style18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  <w:contextualSpacing w:val="false"/>
    </w:pPr>
    <w:rPr/>
  </w:style>
  <w:style w:styleId="style19" w:type="paragraph">
    <w:name w:val="Список"/>
    <w:basedOn w:val="style18"/>
    <w:next w:val="style19"/>
    <w:pPr/>
    <w:rPr>
      <w:rFonts w:cs="Mangal"/>
    </w:rPr>
  </w:style>
  <w:style w:styleId="style20" w:type="paragraph">
    <w:name w:val="Название"/>
    <w:basedOn w:val="style0"/>
    <w:next w:val="style20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cs="Mangal"/>
    </w:rPr>
  </w:style>
  <w:style w:styleId="style22" w:type="paragraph">
    <w:name w:val="List Paragraph"/>
    <w:basedOn w:val="style0"/>
    <w:next w:val="style22"/>
    <w:pPr>
      <w:spacing w:after="200" w:before="0"/>
      <w:ind w:hanging="0" w:left="720" w:right="0"/>
      <w:contextualSpacing/>
    </w:pPr>
    <w:rPr>
      <w:rFonts w:ascii="Calibri" w:cs="Times New Roman" w:eastAsia="Calibri" w:hAnsi="Calibri"/>
      <w:lang w:eastAsia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2015-03-13T12:09:00Z</dcterms:created>
  <dc:creator>user</dc:creator>
  <cp:lastModifiedBy>user</cp:lastModifiedBy>
  <cp:lastPrinted>2015-03-27T11:46:00Z</cp:lastPrinted>
  <dcterms:modified xsi:type="dcterms:W3CDTF">2015-04-09T10:02:00Z</dcterms:modified>
  <cp:revision>16</cp:revision>
</cp:coreProperties>
</file>