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E7" w:rsidRPr="007059B5" w:rsidRDefault="00F26CE7" w:rsidP="004158E5">
      <w:pPr>
        <w:jc w:val="center"/>
        <w:rPr>
          <w:b/>
        </w:rPr>
      </w:pPr>
      <w:r>
        <w:rPr>
          <w:b/>
        </w:rPr>
        <w:t xml:space="preserve"> «14.01.17 - Хирургия»</w:t>
      </w:r>
    </w:p>
    <w:p w:rsidR="00F26CE7" w:rsidRPr="00D10124" w:rsidRDefault="00F26CE7" w:rsidP="00365C06">
      <w:pPr>
        <w:shd w:val="clear" w:color="auto" w:fill="FFFFFF"/>
      </w:pP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  <w:rPr>
          <w:color w:val="000000"/>
          <w:spacing w:val="-2"/>
        </w:rPr>
      </w:pPr>
      <w:r w:rsidRPr="00D10124">
        <w:t xml:space="preserve">Основные направления в работе поликлинического хирурга. 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rPr>
          <w:color w:val="000000"/>
          <w:spacing w:val="-2"/>
        </w:rPr>
      </w:pPr>
      <w:r w:rsidRPr="00D10124">
        <w:t xml:space="preserve">Шовный материал (виды, современные требования, предъявляемые к шовному материалу). 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Дифференциальная диагностика г</w:t>
      </w:r>
      <w:r w:rsidRPr="00D10124">
        <w:rPr>
          <w:color w:val="000000"/>
          <w:spacing w:val="-2"/>
        </w:rPr>
        <w:t xml:space="preserve">нойных заболеваний кожи и подкожной клетчатки, особенности лечения. 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Особенности предоперационной подготовки.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Клиническая характеристика и хирургическое лечение гнойных процессов клетчаточных пространств.</w:t>
      </w:r>
    </w:p>
    <w:p w:rsidR="00F26CE7" w:rsidRPr="00D10124" w:rsidRDefault="00F26CE7" w:rsidP="00365C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21"/>
        </w:rPr>
      </w:pPr>
      <w:r w:rsidRPr="00D10124">
        <w:rPr>
          <w:color w:val="000000"/>
          <w:spacing w:val="-21"/>
        </w:rPr>
        <w:t>Виды хирургических швов.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  <w:rPr>
          <w:iCs/>
          <w:color w:val="000000"/>
          <w:spacing w:val="-1"/>
        </w:rPr>
      </w:pPr>
      <w:r w:rsidRPr="00D10124">
        <w:rPr>
          <w:color w:val="000000"/>
          <w:spacing w:val="-21"/>
        </w:rPr>
        <w:t>Классификация и лечение панарициев</w:t>
      </w:r>
      <w:r w:rsidRPr="00D10124">
        <w:rPr>
          <w:iCs/>
          <w:color w:val="000000"/>
          <w:spacing w:val="-1"/>
        </w:rPr>
        <w:t>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Оказание неотложной помощи при желудочно-кишечных кровотечениях.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  <w:rPr>
          <w:color w:val="000000"/>
          <w:spacing w:val="-2"/>
        </w:rPr>
      </w:pPr>
      <w:r w:rsidRPr="00D10124">
        <w:t>Формы р</w:t>
      </w:r>
      <w:r w:rsidRPr="00D10124">
        <w:rPr>
          <w:color w:val="000000"/>
          <w:spacing w:val="-2"/>
        </w:rPr>
        <w:t>ожистого воспаления, принципы лечения.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Особенности течения раневого процесса.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Показания к переливанию компонентов крови, протокол проведения гемотрансфузии.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Показания к реинфузии крови, методика проведения.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Принципы профилактики и лечения острых венозных тромбозов.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Оценка тяжести кровопотери, принципы лечения.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Неотложная помощь при анафилактическом шоке.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Лечение гнойных ран.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Особенности электротравмы.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Особенности дезинтоксикационной терапии.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 xml:space="preserve">Определение группы крови по системе АВО и </w:t>
      </w:r>
      <w:r w:rsidRPr="00D10124">
        <w:rPr>
          <w:lang w:val="en-US"/>
        </w:rPr>
        <w:t>Rh</w:t>
      </w:r>
      <w:r w:rsidRPr="00D10124">
        <w:t>-фактору.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 xml:space="preserve">Особенности ведения больных в послеоперационном периоде. 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Осложнения гемотрансфузий.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Правила выдачи и продления листка нетрудоспособности.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Особенности анаэробной раневой инфекции.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Эндоскопические методы в хирургии.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Методы остановки кровотечений.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Особенности диагностики и лечения острого гнойного мастита.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Лечение острой артериальной недостаточности сосудов нижних конечностей.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Операции при доброкачественных опухолях кожи и подкожной клетчатки.</w:t>
      </w:r>
    </w:p>
    <w:p w:rsidR="00F26CE7" w:rsidRPr="00D10124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>Послеоперационные осложнения, их профилактика.</w:t>
      </w:r>
    </w:p>
    <w:p w:rsidR="00F26CE7" w:rsidRDefault="00F26CE7" w:rsidP="00365C06">
      <w:pPr>
        <w:numPr>
          <w:ilvl w:val="0"/>
          <w:numId w:val="1"/>
        </w:numPr>
        <w:shd w:val="clear" w:color="auto" w:fill="FFFFFF"/>
      </w:pPr>
      <w:r w:rsidRPr="00D10124">
        <w:t xml:space="preserve">Профилактика тромбоэмболических осложнений в пред- и послеоперационном периодах. </w:t>
      </w: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Default="00F26CE7" w:rsidP="004158E5">
      <w:pPr>
        <w:shd w:val="clear" w:color="auto" w:fill="FFFFFF"/>
      </w:pPr>
    </w:p>
    <w:p w:rsidR="00F26CE7" w:rsidRPr="00D10124" w:rsidRDefault="00F26CE7"/>
    <w:sectPr w:rsidR="00F26CE7" w:rsidRPr="00D10124" w:rsidSect="004158E5"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E7" w:rsidRDefault="00F26CE7" w:rsidP="00B96628">
      <w:r>
        <w:separator/>
      </w:r>
    </w:p>
  </w:endnote>
  <w:endnote w:type="continuationSeparator" w:id="0">
    <w:p w:rsidR="00F26CE7" w:rsidRDefault="00F26CE7" w:rsidP="00B9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E7" w:rsidRDefault="00F26CE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26CE7" w:rsidRDefault="00F26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E7" w:rsidRDefault="00F26CE7" w:rsidP="00B96628">
      <w:r>
        <w:separator/>
      </w:r>
    </w:p>
  </w:footnote>
  <w:footnote w:type="continuationSeparator" w:id="0">
    <w:p w:rsidR="00F26CE7" w:rsidRDefault="00F26CE7" w:rsidP="00B96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54C8"/>
    <w:multiLevelType w:val="hybridMultilevel"/>
    <w:tmpl w:val="8EA278BC"/>
    <w:lvl w:ilvl="0" w:tplc="C3B80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67F"/>
    <w:rsid w:val="00133E01"/>
    <w:rsid w:val="001A525A"/>
    <w:rsid w:val="00365C06"/>
    <w:rsid w:val="004158E5"/>
    <w:rsid w:val="007059B5"/>
    <w:rsid w:val="007C0CA3"/>
    <w:rsid w:val="008C13FC"/>
    <w:rsid w:val="00906FC0"/>
    <w:rsid w:val="0098567F"/>
    <w:rsid w:val="00991879"/>
    <w:rsid w:val="00A16092"/>
    <w:rsid w:val="00A7554E"/>
    <w:rsid w:val="00B96628"/>
    <w:rsid w:val="00C651E5"/>
    <w:rsid w:val="00D10124"/>
    <w:rsid w:val="00EF4BF4"/>
    <w:rsid w:val="00F2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66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662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966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62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242</Words>
  <Characters>1381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7</cp:revision>
  <cp:lastPrinted>2016-06-29T11:31:00Z</cp:lastPrinted>
  <dcterms:created xsi:type="dcterms:W3CDTF">2015-06-09T16:14:00Z</dcterms:created>
  <dcterms:modified xsi:type="dcterms:W3CDTF">2017-07-06T13:39:00Z</dcterms:modified>
</cp:coreProperties>
</file>