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57" w:rsidRDefault="00FB5B4E">
      <w:bookmarkStart w:id="0" w:name="_GoBack"/>
      <w:bookmarkEnd w:id="0"/>
      <w:r>
        <w:rPr>
          <w:color w:val="000000"/>
          <w:szCs w:val="24"/>
        </w:rPr>
        <w:t>Перечень заданий по дисциплине</w:t>
      </w:r>
    </w:p>
    <w:p w:rsidR="00A20D57" w:rsidRDefault="00A20D57">
      <w:pPr>
        <w:rPr>
          <w:color w:val="000000"/>
          <w:szCs w:val="24"/>
        </w:rPr>
      </w:pPr>
    </w:p>
    <w:tbl>
      <w:tblPr>
        <w:tblW w:w="9363" w:type="dxa"/>
        <w:tblInd w:w="-6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247"/>
        <w:gridCol w:w="7488"/>
      </w:tblGrid>
      <w:tr w:rsidR="00A20D57">
        <w:trPr>
          <w:trHeight w:val="1475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Вид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Код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системе стандартов ОСТ 28-12-81 “Товароведение, основные понятия, термины и определения” термин “товароведение”  обозначает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целенаправленную деятельность по формированию ассортимента и качества товаров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естественно-научную дисциплину, предметом которой является потребительная стоимость товаров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науку об основополагающих характеристиках товаров, определяющих их потребительные стоимости, и факторах обеспечения этих характеристик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науку, научающую иметь точные и полные сведения о товарах, их сортах,  местах происхождения и сбыта,  средствах к покупке и продаже, способах перевозки и хранения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Фармацевтическое товароведение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дисциплина, занимающаяся изучением потребительных стоимостей и потребительных свойств фармацевтических и парафармацевтических товаров, факторов, обеспечивающих их качество, методов товароведения,  а также товароведческих операций, связанных с продвижением указанных товаров от поставщика к потребителю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дисциплина, занимающаяся изучением потребительских свойств медицинских товаров, то есть те свойств, которыми должен обладать тот или иной товар, применяемый в медицине в соответствии в его назначением в лечебно-диагностическом процессе (медицинские инструменты, медицинские приборы, медицинские аппараты, медицинское оборудование)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наука, изучающая потребительские стоимости товара, которые образуют присущие только этому товару свойства и качества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дисциплина, занимающаяся изучением основополагающих характеристик товара, составляющих его потребительную стоимость, а также их изменений на всех этапах товародвижения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Укажите период  товарно-формирующего этапа развития товароведения.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начало 20 века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 18 - начало 20 веков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середина 16 начало 18 веков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начало 21 века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Предметом фармацевтического товароведения  как науки и учебной дисциплины является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потребительская стоимость товаров аптечного ассортимента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lastRenderedPageBreak/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материальная продукция, предназначенная для купли-продажи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потребительная стоимость товаров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потребительские ценности товара, а также методы их познания и обеспечения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Согласно ФЗ 61 «О лекарственных средствах», лекарственные препараты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происхождения, которое предназначено для производства, изготовления лекарственных препаратов и определяет их эффективность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вещества неорганического или органического происхождения, используемые в процессе производства, изготовления лекарственных препаратов для придания им необходимых физико-химических свойств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Международное непатентованное наименование лекарственного средства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действующего вещества фармацевтической субстанции, рекомендованное Всемирной организацией здравоохранения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лекарственного препарата, не имеющего международного непатентованного наименования, или комбинации лекарственных препаратов, используемое в целях объединения их в группу под единым наименованием исходя из одинакового состава действующих веществ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Согласно ФЗ 61 «О лекарственных средствах», безопасность лекарственного средства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характеристика лекарственного средства, основанная на сравнительном анализе его эффективности и риска причинения вреда здоровью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соответствие лекарственного средства требованиям фармакопейной </w:t>
            </w:r>
            <w:r>
              <w:rPr>
                <w:color w:val="000000"/>
                <w:szCs w:val="24"/>
                <w:lang w:val="ru-RU"/>
              </w:rPr>
              <w:lastRenderedPageBreak/>
              <w:t xml:space="preserve">статьи либо в случае ее отсутствия нормативной документации или нормативного документа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lastRenderedPageBreak/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План управления рисками в области лекарственных средств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подробное описание мероприятий по фармаконадзору, направленных на выявление, оценку и предотвращение или минимизацию рисков, связанных с лекарственными препаратами, включая оценку эффективности данных мероприятий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вид деятельности по мониторингу эффективности и безопасности лекарственных препаратов, направленный на выявление, оценку и предотвращение нежелательных последствий применения лекарственных препаратов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документ установленной формы, который выписан медицинским работником или специалистом в области ветеринарии, имеющими на это право,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организации, ветеринарной организации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документ, в котором содержатся в доступной форме сведения, касающиеся проводимого клинического исследования лекарственного препарата,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исследования, имеющими значение для выражения такого согласия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</w:rPr>
              <w:t>Надежность товара-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способность товара выполнять заданные функции в заданных режимах и условиях применения, сохраняя свои эксплуатационные свойства в течение заданного промежутка времени, т.е. способность товара противостоять действию факторов внешней среды в течение срока эксплуатации (для медицинских изделий) или сроков годности (для лекарственных препаратов), оказывающих отрицательное влияние на качество товара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способность изделия сохранять свою работоспособность до наступления предельного состояния при установленной системе технического обслуживания и ремонта (для технически сложных товаров)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состояние изделия, в котором оно способно выполнять заданные функции, сохраняя значения заданных параметров в пределах, установленных нормативными документами</w:t>
            </w:r>
          </w:p>
        </w:tc>
      </w:tr>
      <w:tr w:rsidR="00A20D57">
        <w:trPr>
          <w:trHeight w:val="582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способность изделия сохранять свою работоспособность в течение некоторого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Эргономические свойства товара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удобство и комфорт эксплуатации изделия. К эргономическим свойствам относятся антропометрические, теплозащитные, физиологические (гигиенические), психофизиологические и психологические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соответствие размеров и формы изделия размеру и форме тела человека. Конструкция изделия и его размеры (габариты) должны обеспечивать удобство пользования им и рациональное расходование энергии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способность изделий загрязняться и очищаться, имеют большое значение для предметов ухода за больными и медицинских инструментов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соответствие изделия силовым, слуховым, зрительным, вкусовым, обонятельным возможностям человека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Гигиенические свойства товара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способность изделий загрязняться и очищаться, имеют большое значение для предметов ухода за больными и медицинских инструментов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соответствие изделия силовым, слуховым, зрительным, вкусовым, обонятельным возможностям человека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соответствие размеров и формы изделия размеру и форме тела человека. Конструкция изделия и его размеры (габариты) должны обеспечивать удобство пользования им и рациональное расходование энергии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удобство и комфорт эксплуатации изделия. К эргономическим свойствам относятся антропометрические, теплозащитные, физиологические (гигиенические), психофизиологические и психологические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Антропометрические свойства товара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соответствие размеров и формы изделия размеру и форме тела человека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удобство и комфорт эксплуатации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соответствие изделия силовым, слуховым, зрительным, вкусовым, обонятельным возможностям человека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характеризуют способность изделий загрязняться и очищаться, имеют большое значение для предметов ухода за больными и медицинских инструментов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Согласно государственной фармакопее </w:t>
            </w:r>
            <w:r>
              <w:rPr>
                <w:i/>
                <w:color w:val="000000"/>
                <w:szCs w:val="24"/>
                <w:lang w:val="ru-RU"/>
              </w:rPr>
              <w:t>Выборка (проба)-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одна или несколько выборочных единиц, отобранных в соответствии с установленной процедурой выборки из генеральной совокупности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определенное количество лекарственных средств или материалов, образующее единство и взятое из одного места в одно время для формирования части выборки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контролируемая серия (партия)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процесс отбора одной или нескольких проб из пробы</w:t>
            </w:r>
          </w:p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нештучной нерасфасованной продукции таким способом, как нарезание, механическое деление или квартование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14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Стандартизация в Российской Федерации. Правила стандартизации и рекомендации по стандартизации. Порядок разработки, утверждения, изменения, пересмотра и отмены  – определены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ГОСТом Р 1.10-2004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ГОСТом 22.3.01-97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ГОСТом Р 22.3.01-94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ГОСТом  Р 50267.26-95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15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bookmarkStart w:id="1" w:name="documentTitleLink"/>
            <w:bookmarkEnd w:id="1"/>
            <w:r>
              <w:rPr>
                <w:color w:val="000000"/>
                <w:szCs w:val="24"/>
                <w:lang w:val="ru-RU"/>
              </w:rPr>
              <w:t xml:space="preserve">Согласно </w:t>
            </w:r>
            <w:hyperlink r:id="rId6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Федеральный закон  N 162-ФЗ "О стандартизации в Российской Федерации"</w:t>
              </w:r>
            </w:hyperlink>
            <w:r>
              <w:rPr>
                <w:color w:val="000000"/>
                <w:szCs w:val="24"/>
                <w:lang w:val="ru-RU"/>
              </w:rPr>
              <w:t xml:space="preserve"> стандартизация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деятельность по разработке (ведению), утверждению, изменению (актуализации), отмене, опубликованию и применению документов по стандартизации и иная деятельность, направленная на достижение упорядоченности в отношении объектов стандартизации;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документ национальной системы стандартизации, утвержденный федеральным органом исполнительной власти в сфере стандартизации и содержащий информацию организационного и методического характера, касающуюся проведения работ по стандартизации и способствующую применению соответствующего национального стандарта, либо положения, которые предварительно проверяются на практике до их установления в национальном стандарте или предварительном национальном стандарте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деятельность по разработке, опубликованию и применению стандартов, по установлению норм, правил и характеристик в целях обеспечения безопасности продукции, работ и услуг для окружающей среды, жизни, здоровья и имущества, технической и информационной совместимости, взаимозаменяемости и качества продукции, работ и услуг в соответствии с уровнем развития науки, техники и технологии, единства измерений, экономии всех видов ресурсов, безопасности хозяйственных объектов с учётом риска возникновения природных и техногенных катастроф и других чрезвычайных ситуаций, обороноспособности и мобилизационной готовности страны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документ, в котором для добровольного и многократного применения устанавливаются общие характеристики объекта стандартизации, а также правила и общие принципы в отношении объекта стандартизации, за исключением случаев, если обязательность применения документов по стандартизации устанавливается настоящим Федеральным законом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16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>Общая фармакопейная статья (ОФС)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документ, утвержденный уполномоченным федеральным органом исполнительной власти и содержащий перечень показателей качества и (или) методов контроля качества конкретной лекарственной 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методов анализа лекарственного средства для медицинского применения, а также требования к используемым в целях проведения данного анализа реактивам, титрованным растворам, индикаторам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</w:t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стандарт качества лекарственного средства на лекарственное средство под торговым названием, содержащий перечень показателей и методов контроля качества лекарственного средства производства конкретного предприятия, учитывающий конкретную технологию данного предприятия и прошедший экспертизу и регистрацию в установленном порядке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17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Фармакопейная статья 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стандарт качества лекарственного средства на лекарственное средство под торговым названием, содержащий перечень показателей и методов контроля качества лекарственного средства производства конкретного предприятия, учитывающий конкретную технологию данного предприятия и прошедший экспертизу и регистрацию в установленном порядке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документ, утвержденный уполномоченным федеральным органом исполнительной власти и содержащий перечень показателей качества и (или) методов контроля качества конкретной лекарственной 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методов анализа лекарственного средства для медицинского применения, а также требования к используемым в целях проведения данного анализа реактивам, титрованным растворам, индикаторам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18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Согласно ФЗ № 61- ФЗ государственный реестр лекарственных средств это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перечень лекарственных препаратов, прошедших государственную регистрацию, перечень фармацевтических субстанций, входящих в состав лекарственных препаратов</w:t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</w:t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фармакотерапевтическая группа, код лекарственного препарата по анатомо-терапевтическо-химической классификации, рекомендованной Всемирной организацией здравоохранения</w:t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номер фармакопейной статьи или в случае ее отсутствия номер нормативной документации либо нормативного документа</w:t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19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Под государственной фармакопеей понимается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свод общих фармакопейных статей и фармакопейных статей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документ, утвержденный уполномоченным федеральным органом исполнительной власти и содержащий перечень показателей качества и (или) методов контроля качества конкретной лекарственной 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методов анализа лекарственного средства, а также требования к используемым в целях проведения данного анализа реактивам, титрованным растворам, индикаторам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документ,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применения, методов контроля его качества и установленный его производителем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Какое издание государственной фармакопеи вышло в 2018 году?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14 издание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13 издание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15 издание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1 издание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Какой из представленных ниже товаров подлинный? Проверку  товара произвести  путем проверки  контрольного числа.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val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100965</wp:posOffset>
                  </wp:positionV>
                  <wp:extent cx="1047750" cy="809625"/>
                  <wp:effectExtent l="0" t="0" r="0" b="0"/>
                  <wp:wrapSquare wrapText="largest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val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73025</wp:posOffset>
                  </wp:positionV>
                  <wp:extent cx="1143635" cy="927100"/>
                  <wp:effectExtent l="0" t="0" r="0" b="0"/>
                  <wp:wrapSquare wrapText="largest"/>
                  <wp:docPr id="2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11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val="ru-RU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61595</wp:posOffset>
                  </wp:positionV>
                  <wp:extent cx="1096010" cy="952500"/>
                  <wp:effectExtent l="0" t="0" r="0" b="0"/>
                  <wp:wrapSquare wrapText="largest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7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val="ru-RU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38100</wp:posOffset>
                  </wp:positionV>
                  <wp:extent cx="919480" cy="523875"/>
                  <wp:effectExtent l="0" t="0" r="0" b="0"/>
                  <wp:wrapSquare wrapText="largest"/>
                  <wp:docPr id="4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20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Товар имеет штрих код 8901148211551. Определить наименование данного товара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Найз гель 10мг/1г 20г, №1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Назофен бэби капли наз. 1.25мг/мл 10мл, №1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Назофан 120доз спрей 50 мкг/доза, №1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Натуретто витамины + железо (со вкусом клубники) табл 2.3г, №17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Товар имеет штрих код 8717627103251. Определить наименование данного товара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Натуретто витамины + железо (со вкусом клубники) табл 2.3г, №17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Ретинола ац-т капс 5000ме, №50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Репарэф-2 мазь 15г, №1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Репарэф-1 мазь 15г, №1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lang w:val="ru-RU"/>
              </w:rPr>
            </w:pPr>
            <w:r>
              <w:rPr>
                <w:color w:val="000000"/>
                <w:szCs w:val="24"/>
              </w:rPr>
              <w:t>0024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Товар имеет штрих код 4013054002902. Определить наименование данного товара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Фастум гель для наружн прим 2.5% 30г №1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Фас-дубль (от муравьев, тараканов, клопов, блох, мух) порошок 125г /90 (капитал прок) Россия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Фас супер от быт. насекомых водораств.порошок 10г /100 (капитал прок) Россия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Кальций-д3 никомед табл жев. 200 ме+500мг №100 апельс., никомед фарма 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Объектами классификации в ОКПД 2 является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продукция (услуги, работы)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непродовольственные товары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продовольственные товары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фармацевтическая продукция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rPr>
          <w:trHeight w:val="632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Средства лекарственные и материалы, применяемые в медицинских целях имеют код ОКПД2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32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930000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Система Честный знак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национальная единая система маркировки товаров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система применения контрольно-кассовой техники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объединение специалистов фармацевтической отрасли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система учета подлинных лекарственных средств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минимальный ассортимент лекарственных препаратов-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ассортимент лекарственных препаратов, необходимых для оказания медицинской помощи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ассортимент, обеспечивающий рентабельность работы аптеки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ассортимент, необходимый для обслуживания постоянных потребителей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ассортимент, утвержденный руководителем аптеки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29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Промышленный ассортимент отрасли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одной отрасли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области, края, города, района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</w:t>
            </w:r>
            <w:r>
              <w:rPr>
                <w:color w:val="000000"/>
                <w:szCs w:val="24"/>
              </w:rPr>
              <w:softHyphen/>
              <w:t>варов, вырабатываемых одним предприятием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 товаров, поступающих на оптовые и розничные торговые предприятия или в сферу обращения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Торговый ассортимент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 товаров, поступающих на оптовые и розничные торговые предприятия или в сферу обращения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одной отрасли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области, края, города, района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</w:t>
            </w:r>
            <w:r>
              <w:rPr>
                <w:color w:val="000000"/>
                <w:szCs w:val="24"/>
              </w:rPr>
              <w:softHyphen/>
              <w:t>варов, вырабатываемых одним предприятием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Промышленный ассортимент региона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области, края, города, района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 товаров, поступающих на оптовые и розничные торговые предприятия или в сферу обращения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одной отрасли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</w:t>
            </w:r>
            <w:r>
              <w:rPr>
                <w:color w:val="000000"/>
                <w:szCs w:val="24"/>
              </w:rPr>
              <w:softHyphen/>
              <w:t>варов, вырабатываемых одним предприятием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Промышленный ассортимент предприятия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</w:t>
            </w:r>
            <w:r>
              <w:rPr>
                <w:color w:val="000000"/>
                <w:szCs w:val="24"/>
              </w:rPr>
              <w:softHyphen/>
              <w:t>варов, вырабатываемых одним предприятием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области, края, города, района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 товаров, поступающих на оптовые и розничные торговые предприятия или в сферу обращения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вырабатываемых предприятиями одной отрасли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Ассортиментная группа, товарная линия, ассортиментный ряд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тесно взаимосвязанных меж</w:t>
            </w:r>
            <w:r>
              <w:rPr>
                <w:color w:val="000000"/>
                <w:szCs w:val="24"/>
              </w:rPr>
              <w:softHyphen/>
              <w:t>ду собой в силу выполнения аналогичных функций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 товаров, поступающих на оптовые и розничные торговые предприятия или в сферу обращения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всех ассортиментных групп товаров и товарных единиц, предлагаемых покупателям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состав и соотношение товаров определенного вида или разновидности, отличающихся между собой по типам, размерам, дозировке и другим признакам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Товарная номенклатура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всех ассортиментных групп товаров и товарных единиц, предлагаемых покупателям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совокупность товаров, тесно взаимосвязанных меж</w:t>
            </w:r>
            <w:r>
              <w:rPr>
                <w:color w:val="000000"/>
                <w:szCs w:val="24"/>
              </w:rPr>
              <w:softHyphen/>
              <w:t>ду собой в силу выполнения аналогичных функций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ассортимент товаров, поступающих на оптовые и розничные торговые предприятия или в сферу обращения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состав и соотношение товаров определенного вида или разновидности, отличающихся между собой по типам, размерам, дозировке и другим признакам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Формирование ассортимента-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деятельность по составлению набора товаров, позволяющего удовлетворить реальные или прогнозируемые потребности, а также достигнуть целей, определенных руководством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оценка материальных возможностей для закупки необходимых товаров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определение круга поставщиков, способных поставить необходимые для товары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цели, задачи и основные направления формирования ассортимента, намечаемые руководством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Расширение ассортимента-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набора товаров за счет увеличения показателей широты, полноты и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в наборе товаров за счет уменьшения его широты и полноты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состояние набора товаров, характеризующееся высокой устойчивостью и низкой степенью обновления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качественные и количественные изменения товаров, характеризующиеся увеличением показателя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Обновление ассортимента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качественные и количественные изме</w:t>
            </w:r>
            <w:r>
              <w:rPr>
                <w:color w:val="000000"/>
                <w:szCs w:val="24"/>
              </w:rPr>
              <w:softHyphen/>
              <w:t>нения товаров, характеризующиеся увеличением показателя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набора товаров за счет увеличения показателей широты, полноты и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в наборе товаров за счет уменьшения его широты и полноты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состояние набора товаров, характеризующееся высокой устойчивостью и низкой степенью обновления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Сокращение ассортимента-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в наборе товаров за счет уменьшения его широты и полноты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качественные и количественные изменения товаров, характеризующиеся увеличением показателя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набора товаров за счет увеличения показателей широты, полноты и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состояние набора товаров, характеризующееся высокой устойчивостью и низкой степенью обновления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39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Стабилизация ассортимента-это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состояние набора товаров, характеризующееся высокой устойчивостью и низкой степенью обновления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в наборе товаров за счет уменьшения его широты и полноты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качественные и количественные изменения товаров, характеризующиеся увеличением показателя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набора товаров за счет увеличения показателей широты, полноты и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Совершенствование ассортимента-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состояния набора товаров для повышения его рациональности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состояния набора товаров, отражающие степень близости реального ассортимента к оптимальному или лучшим зарубежным и отечественным аналогам, наиболее полно соответствующие целям организации здравоохранения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состояние набора товаров, характеризующееся высокой устойчивостью и низкой степенью обновления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качественные и количественные изменения товаров, характеризующиеся увеличением показателя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Гармонизация ассортимента-это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состояния набора товаров, отражающие степень близости реального ассортимента к оптимальному или лучшим зарубежным и отечественным аналогам, наиболее полно соответствующие целям организации здравоохранения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количественные и качественные изменения состояния набора товаров для повышения его рациональности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качественные и количественные изменения товаров, характеризующиеся увеличением показателя новизны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состояние набора товаров, характеризующееся высокой устойчивостью и низкой степенью обновления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Широта ассортимента —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ассортиментных групп (подгрупп, видов) товаров,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каталогах, выпускаемых различными фармацевтическими предприя</w:t>
            </w:r>
            <w:r>
              <w:rPr>
                <w:color w:val="000000"/>
                <w:szCs w:val="24"/>
              </w:rPr>
              <w:softHyphen/>
              <w:t>тиями или фирмами, производящими медицинские инструменты, приборы и оборудование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товарных единиц одной ассортиментной группы (подгруппы),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 или выпускаемых фармацевтическими предприятиями и фирмами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это количество вариантов товаров одной товарной единицы или одной ассортиментной группы,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 или выпускаемых фармацевтическими предприятиями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это доля новых товаров, появившихся на рынке в течение определенного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Индекс обновления ассортимента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это доля новых товаров, появившихся на рынке в течение определенного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ассортиментных групп (подгрупп, видов) товаров,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каталогах, выпускаемых различными фармацевтическими предприя</w:t>
            </w:r>
            <w:r>
              <w:rPr>
                <w:color w:val="000000"/>
                <w:szCs w:val="24"/>
              </w:rPr>
              <w:softHyphen/>
              <w:t>тиями или фирмами, производящими медицинские инструменты, приборы и оборудование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товарных единиц одной ассортиментной группы (подгруппы),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 или выпускаемых фармацевтическими предприятиями и фирмами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это количество вариантов товаров одной товарной единицы или одной ассортиментной группы,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 или выпускаемых фармацевтическими предприятиями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Полнота ассортимента-это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товарных единиц одной ассортиментной группы (подгруппы),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 или выпускаемых фармацевтическими предприятиями и фирмами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это доля новых товаров, появившихся на рынке в течение определенного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ассортиментных групп (подгрупп, видов) товаров,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каталогах, выпускаемых различными фармацевтическими предприя</w:t>
            </w:r>
            <w:r>
              <w:rPr>
                <w:color w:val="000000"/>
                <w:szCs w:val="24"/>
              </w:rPr>
              <w:softHyphen/>
              <w:t>тиями или фирмами, производящими медицинские инструменты, приборы и оборудование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это количество вариантов товаров одной товарной единицы или одной ассортиментной группы,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 или выпускаемых фармацевтическими предприятиями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Глубина ассортимента —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вариантов товаров одной товарной единицы или одной ассортиментной группы, имеющихся в том или ином розничном или оптовом звене, представленных в номенкла</w:t>
            </w:r>
            <w:r>
              <w:rPr>
                <w:color w:val="000000"/>
                <w:szCs w:val="24"/>
              </w:rPr>
              <w:softHyphen/>
              <w:t>турных или формулярных списках, классификаторах, государственных реестрах, регистрах, каталогах или выпускаемых фармацевтическими предприятиями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товарных единиц одной ассортиментной группы (подгруппы),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 или выпускаемых фармацевтическими предприятиями и фирмами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это доля новых товаров, появившихся на рынке в течение определенного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количество ассортиментных групп (подгрупп, видов) товаров, имеющихся в том или ином розничном или оптовом звене, представленных в номенклатурных или формулярных списках, классификаторах, государственных реестрах, регистрах, каталогах, выпускаемых различными фармацевтическими предприя</w:t>
            </w:r>
            <w:r>
              <w:rPr>
                <w:color w:val="000000"/>
                <w:szCs w:val="24"/>
              </w:rPr>
              <w:softHyphen/>
              <w:t>тиями или фирмами, производящими медицинские инструменты, приборы и оборудование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Определите класс морального износа изделия медицинской техники, если  коэффициент износа  не превышает 0,35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 класс — современные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 класс — относительно новые изделия, производимые или уже не выпускаемые фирмами-изготовителями, однако имеющие соответствующую фирменную техническую поддержку (ремонт, поставку запасных частей и комплектую</w:t>
            </w:r>
            <w:r>
              <w:rPr>
                <w:color w:val="000000"/>
                <w:szCs w:val="24"/>
              </w:rPr>
              <w:softHyphen/>
              <w:t>щих, дооснащение и модернизацию)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III класс — не новые изделия, не выпускаемые в течение 3—4 лет, но имеющие соответствующую техническую поддержку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IV класс — старые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Определите класс морального износа изделия медицинской техники, если  коэффициент износа   находится в диапазоне 0,33 &lt;К&lt;1,0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 класс — относительно новые изделия, производимые или уже не выпускаемые фирмами-изготовителями, однако имеющие соответствующую фирменную техническую поддержку (ремонт, поставку запасных частей и комплектую</w:t>
            </w:r>
            <w:r>
              <w:rPr>
                <w:color w:val="000000"/>
                <w:szCs w:val="24"/>
              </w:rPr>
              <w:softHyphen/>
              <w:t>щих, дооснащение и модернизацию)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 класс — современные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III класс — не новые изделия, не выпускаемые в течение 3—4 лет, но имеющие соответствующую техническую поддержку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IV класс — старые изделия, снятые с производства и не имеющие фирменной технической поддержки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Определите класс морального износа изделия медицинской техники, если  коэффициент износа   находится в диапазоне  1,0 &lt; К &lt;1,7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III класс — не новые изделия, не выпускаемые в течение 3—4 лет, но имеющие соответствующую техническую поддержку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 класс — современные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 класс — относительно новые изделия,произ</w:t>
            </w:r>
            <w:r>
              <w:rPr>
                <w:color w:val="000000"/>
                <w:szCs w:val="24"/>
              </w:rPr>
              <w:softHyphen/>
              <w:t>водимые или уже не выпускаемые фирмами-изготовителями, однако имеющие соответствующую фирменную техническую поддержку (ремонт, поставку запасных частей и комплектую</w:t>
            </w:r>
            <w:r>
              <w:rPr>
                <w:color w:val="000000"/>
                <w:szCs w:val="24"/>
              </w:rPr>
              <w:softHyphen/>
              <w:t>щих, дооснащение и модернизацию)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IV класс — старые изделия, снятые с производства и не имеющие фирменной технической поддержки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49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Определите класс морального износа изделия медицинской техники, если  коэффициент износа</w:t>
            </w:r>
          </w:p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 &gt;1,7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IV класс — старые изделия, снятые с производства и не имеющие фирменной технической поддержки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 класс — современные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 класс — относительно новые изделия, производимые или уже не выпускаемые фирмами-изготовителями, однако имеющие соответствующую фирменную техническую поддержку (ремонт, поставку запасных частей и комплектую</w:t>
            </w:r>
            <w:r>
              <w:rPr>
                <w:color w:val="000000"/>
                <w:szCs w:val="24"/>
              </w:rPr>
              <w:softHyphen/>
              <w:t>щих, дооснащение и модернизацию)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III класс — не новые изделия, не выпускаемые в течение 3—4 лет, но имеющие соответствующую техническую поддержку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Поддержание минимального ассортимента аптеки является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лицензионным требованием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требованием руководителя фармацевтической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требованием старшего провизора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требованием рынка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Коэффициент рациональности-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средневзвешенное значение показателя рациональности с учетом влияния этих факторов на рациональность ассортимента (вес фактора) и реальных значений  ко</w:t>
            </w:r>
            <w:r>
              <w:rPr>
                <w:color w:val="000000"/>
                <w:szCs w:val="24"/>
              </w:rPr>
              <w:softHyphen/>
              <w:t>эффициентов широты (Кш), полноты (Кп), устойчивости (К) и новизны (Кн) ассортимента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свойство набора товаров разных групп, характеризующее степень их близости по обеспечению рационального товародвижения, реализации и/или использования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отношение количества видов, разновидностей и наименований товаров, пользующихся устойчивым спросом у потребителей, к общему количеству видов, разновидностей и наименований товаров тех же однородных групп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отношение количества отдельных товаров к суммарному количеству всех товаров, входящих в ассортимент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Гармоничность ассортимента-это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свойство набора товаров разных групп, характеризующее степень их близости по обеспечению рационального товародвижения, реализации и/или использования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отношение количества видов, разновидностей и наименований товаров, пользующихся устойчивым спросом у потребителей, к общему количеству видов, разновидностей и наименований товаров тех же однородных групп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отношение количества отдельных товаров к суммарному количеству всех товаров, входящих в ассортимент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средневзвешенное значение показателя рациональности с учетом влияния этих факторов на рациональность ассортимента (вес фактора) и реальных значений  ко</w:t>
            </w:r>
            <w:r>
              <w:rPr>
                <w:color w:val="000000"/>
                <w:szCs w:val="24"/>
              </w:rPr>
              <w:softHyphen/>
              <w:t>эффициентов широты (Кш), полноты (Кп), устойчивости (К) и новизны (Кн) ассортимента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 xml:space="preserve">Лекарственные вещества </w:t>
            </w:r>
            <w:r>
              <w:rPr>
                <w:color w:val="000000"/>
                <w:szCs w:val="24"/>
                <w:lang w:val="ru-RU"/>
              </w:rPr>
              <w:t xml:space="preserve">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характеристика лекарственного средства, основанная на сравнительном анализе его эффективности и риска причинения вреда здоровью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Style w:val="a5"/>
                <w:b w:val="0"/>
                <w:color w:val="222222"/>
                <w:u w:val="single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</w:rPr>
              <w:t xml:space="preserve">Безопасность лекарственного средства-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характеристика лекарственного средства, основанная на сравнительном анализе его эффективности и риска причинения вреда здоровью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ложная информация о составе и/или производителе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</w:rPr>
              <w:t xml:space="preserve">Фальсифицированное лекарственное средство-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сопровождаемое ложной информацией о составе и/или производителе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находящееся в обороте с нарушением гражданского законодательства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документа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</w:rPr>
              <w:t>Контрафактное лекарственное средство-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находящееся в обороте с нарушением гражданского законодательства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сопровождаемое ложной информацией о составе и/или производителе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документа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>Недоброкачественное лекарственное средство</w:t>
            </w:r>
            <w:r>
              <w:rPr>
                <w:color w:val="000000"/>
                <w:szCs w:val="24"/>
                <w:lang w:val="ru-RU"/>
              </w:rPr>
              <w:t>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документа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находящееся в обороте с нарушением гражданского законодательства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лекарственное средство, сопровождаемое ложной информацией о составе и/или производителе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Письменный контроль </w:t>
            </w: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 xml:space="preserve">качества </w:t>
            </w:r>
            <w:r>
              <w:rPr>
                <w:color w:val="000000"/>
                <w:szCs w:val="24"/>
                <w:lang w:val="ru-RU"/>
              </w:rPr>
              <w:t xml:space="preserve">лекарственных средств осуществляется в отношении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лекарственных средств , изготавливаемых в аптеке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всех лекарственных средств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фальсифицированных лекарственных средств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лекарственных средств , имеющих форму порошка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59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Паспорт, выписанный на лекарственный препарат, должен храниться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менее двух 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менее двух недель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месяца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Поступающих в гражданский оборот после 29 ноября 2019 года, лекарственные препараты должны ли сопровождаться документами, содержащими сведения о зарегистрированных декларациях о соответствии и выданных сертификатах соответствия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Иногда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только для  иммунобиологических лекарственных препаратов: вакцин, сывороток, иммуноглобулинов, токсинов и антитоксинов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Законность нахождения серии (партии) лекарственного препарата проверяется через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официальный сайт Росздравнадзора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официальный сайт Минздрава </w:t>
            </w:r>
            <w:r>
              <w:rPr>
                <w:color w:val="000000"/>
                <w:szCs w:val="24"/>
              </w:rPr>
              <w:t xml:space="preserve">РФ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C81992">
            <w:hyperlink r:id="rId11">
              <w:r w:rsidR="00FB5B4E">
                <w:rPr>
                  <w:rStyle w:val="-"/>
                  <w:color w:val="000000"/>
                  <w:szCs w:val="24"/>
                </w:rPr>
                <w:t>официальный сайт Федеральной службы по техническому и экспортному контролю</w:t>
              </w:r>
            </w:hyperlink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highlight w:val="white"/>
                <w:lang w:val="ru-RU"/>
              </w:rPr>
              <w:t xml:space="preserve">официальный сайт </w:t>
            </w:r>
            <w:hyperlink r:id="rId12">
              <w:r>
                <w:rPr>
                  <w:rStyle w:val="-"/>
                  <w:color w:val="000000"/>
                  <w:szCs w:val="24"/>
                  <w:highlight w:val="white"/>
                  <w:u w:val="none"/>
                  <w:lang w:val="ru-RU"/>
                </w:rPr>
                <w:t>Федерального медико-биологическое агентств</w:t>
              </w:r>
            </w:hyperlink>
            <w:r>
              <w:rPr>
                <w:color w:val="000000"/>
                <w:szCs w:val="24"/>
                <w:highlight w:val="white"/>
                <w:lang w:val="ru-RU"/>
              </w:rPr>
              <w:t>а</w:t>
            </w:r>
          </w:p>
        </w:tc>
      </w:tr>
      <w:tr w:rsidR="00A20D57">
        <w:trPr>
          <w:trHeight w:val="340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rPr>
          <w:trHeight w:val="1140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highlight w:val="white"/>
                <w:lang w:val="ru-RU"/>
              </w:rPr>
              <w:t>П</w:t>
            </w:r>
            <w:r>
              <w:rPr>
                <w:color w:val="000000"/>
                <w:szCs w:val="24"/>
                <w:lang w:val="ru-RU"/>
              </w:rPr>
              <w:t xml:space="preserve">ри отсутствии на сайте Росздравнадзора информации о вводе в гражданский оборот серии (партии) лекарственного препарата следует обращаться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территориальный орган Росздравнадзора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Росздравнадзор РФ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Генеральную прокуратуру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аппаратную президента РФ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В соответствии с </w:t>
            </w:r>
            <w:hyperlink r:id="rId13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ОФС «Хранение лекарственного растительного сырья и лекарственных растительных препаратов»</w:t>
              </w:r>
            </w:hyperlink>
            <w:r>
              <w:rPr>
                <w:color w:val="000000"/>
                <w:szCs w:val="24"/>
                <w:lang w:val="ru-RU"/>
              </w:rPr>
              <w:t xml:space="preserve"> хранение 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процесс хранения лекарственных средств до момента их использования в пределах установленного срока годности, являющийся составной частью обращения лекарственных средств.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один из базовых процессов обращения лекарственных средств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соглашение, процесс, подразумевающий под собой обязательство сохранить и впоследствии возвратить владельцу лекарственное средство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этап обращения лекарственного средства, который должен проходить в условиях, обеспечивающих минимальное изменение его количества и качества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Комплекс помещений для хранения должен включать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0"/>
                <w:numId w:val="4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приемки, предназначенную для распаковки и приема упаковок с лекарственными средствами и их предварительного осмотра;</w:t>
            </w:r>
          </w:p>
          <w:p w:rsidR="00A20D57" w:rsidRDefault="00FB5B4E">
            <w:pPr>
              <w:numPr>
                <w:ilvl w:val="0"/>
                <w:numId w:val="4"/>
              </w:numPr>
            </w:pPr>
            <w:r>
              <w:rPr>
                <w:color w:val="000000"/>
                <w:szCs w:val="24"/>
                <w:lang w:val="ru-RU"/>
              </w:rPr>
              <w:t xml:space="preserve">помещение (зону) для отбора проб лекарственных средств в соответствии с требованиями </w:t>
            </w:r>
            <w:hyperlink r:id="rId14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ОФС «Отбор проб»</w:t>
              </w:r>
            </w:hyperlink>
            <w:r>
              <w:rPr>
                <w:color w:val="000000"/>
                <w:szCs w:val="24"/>
                <w:lang w:val="ru-RU"/>
              </w:rPr>
              <w:t>;</w:t>
            </w:r>
          </w:p>
          <w:p w:rsidR="00A20D57" w:rsidRDefault="00FB5B4E">
            <w:pPr>
              <w:numPr>
                <w:ilvl w:val="0"/>
                <w:numId w:val="4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карантинного хранения лекарственных средств;</w:t>
            </w:r>
          </w:p>
          <w:p w:rsidR="00A20D57" w:rsidRDefault="00FB5B4E">
            <w:pPr>
              <w:numPr>
                <w:ilvl w:val="0"/>
                <w:numId w:val="4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помещения для лекарственных средств, требующих особых условий хранения;</w:t>
            </w:r>
          </w:p>
          <w:p w:rsidR="00A20D57" w:rsidRDefault="00FB5B4E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хранения забракованных, возвращенных, отозванных и/или лекарственных средств с истекшим сроком годности. Указанные лекарственные средства и места их хранения должны быть четко обозначены.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0"/>
                <w:numId w:val="3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приемки, предназначенную для распаковки и приема упаковок с лекарственными средствами и их предварительного осмотра;</w:t>
            </w:r>
          </w:p>
          <w:p w:rsidR="00A20D57" w:rsidRDefault="00FB5B4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помещение (зону) приемки, предназначенную для распаковки и приема упаковок с иммунобиологическими лекарственными препаратами  и их предварительного осмотра</w:t>
            </w:r>
          </w:p>
          <w:p w:rsidR="00A20D57" w:rsidRDefault="00FB5B4E">
            <w:pPr>
              <w:numPr>
                <w:ilvl w:val="0"/>
                <w:numId w:val="3"/>
              </w:numPr>
            </w:pPr>
            <w:r>
              <w:rPr>
                <w:color w:val="000000"/>
                <w:szCs w:val="24"/>
                <w:lang w:val="ru-RU"/>
              </w:rPr>
              <w:t xml:space="preserve">помещение (зону) для отбора проб лекарственных средств в соответствии с требованиями </w:t>
            </w:r>
            <w:hyperlink r:id="rId15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ОФС «Отбор проб»</w:t>
              </w:r>
            </w:hyperlink>
            <w:r>
              <w:rPr>
                <w:color w:val="000000"/>
                <w:szCs w:val="24"/>
                <w:lang w:val="ru-RU"/>
              </w:rPr>
              <w:t>;</w:t>
            </w:r>
          </w:p>
          <w:p w:rsidR="00A20D57" w:rsidRDefault="00FB5B4E">
            <w:pPr>
              <w:numPr>
                <w:ilvl w:val="0"/>
                <w:numId w:val="3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карантинного хранения лекарственных средств;</w:t>
            </w:r>
          </w:p>
          <w:p w:rsidR="00A20D57" w:rsidRDefault="00FB5B4E">
            <w:pPr>
              <w:numPr>
                <w:ilvl w:val="0"/>
                <w:numId w:val="3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помещения для лекарственных средств, требующих особых условий хранения;</w:t>
            </w:r>
          </w:p>
          <w:p w:rsidR="00A20D57" w:rsidRDefault="00FB5B4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хранения забракованных, возвращенных, отозванных и/или лекарственных средств с истекшим сроком годности. Указанные лекарственные средства и места их хранения должны быть четко обозначены.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0"/>
                <w:numId w:val="4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приемки, предназначенную для распаковки и приема упаковок с лекарственными средствами и их предварительного осмотра;</w:t>
            </w:r>
          </w:p>
          <w:p w:rsidR="00A20D57" w:rsidRDefault="00FB5B4E">
            <w:pPr>
              <w:numPr>
                <w:ilvl w:val="0"/>
                <w:numId w:val="4"/>
              </w:numPr>
            </w:pPr>
            <w:r>
              <w:rPr>
                <w:color w:val="000000"/>
                <w:szCs w:val="24"/>
                <w:lang w:val="ru-RU"/>
              </w:rPr>
              <w:t xml:space="preserve">помещение (зону) для отбора проб лекарственных средств в соответствии с требованиями </w:t>
            </w:r>
            <w:hyperlink r:id="rId16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ОФС «Отбор проб»</w:t>
              </w:r>
            </w:hyperlink>
            <w:r>
              <w:rPr>
                <w:color w:val="000000"/>
                <w:szCs w:val="24"/>
                <w:lang w:val="ru-RU"/>
              </w:rPr>
              <w:t>;</w:t>
            </w:r>
          </w:p>
          <w:p w:rsidR="00A20D57" w:rsidRDefault="00FB5B4E">
            <w:pPr>
              <w:numPr>
                <w:ilvl w:val="0"/>
                <w:numId w:val="4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карантинного хранения лекарственных средств;</w:t>
            </w:r>
          </w:p>
          <w:p w:rsidR="00A20D57" w:rsidRDefault="00FB5B4E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хранения забракованных, возвращенных, отозванных и/или лекарственных средств с истекшим сроком годности. Указанные лекарственные средства и места их хранения должны быть четко обозначены.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0"/>
                <w:numId w:val="3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приемки, предназначенную для распаковки и приема упаковок с лекарственными средствами и их предварительного осмотра;</w:t>
            </w:r>
          </w:p>
          <w:p w:rsidR="00A20D57" w:rsidRDefault="00FB5B4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помещение (зону) приемки, предназначенную для распаковки и приема упаковок с иммунобиологическими лекарственными препаратами  и их предварительного осмотра</w:t>
            </w:r>
          </w:p>
          <w:p w:rsidR="00A20D57" w:rsidRDefault="00FB5B4E">
            <w:pPr>
              <w:numPr>
                <w:ilvl w:val="0"/>
                <w:numId w:val="3"/>
              </w:numPr>
            </w:pPr>
            <w:r>
              <w:rPr>
                <w:color w:val="000000"/>
                <w:szCs w:val="24"/>
                <w:lang w:val="ru-RU"/>
              </w:rPr>
              <w:t xml:space="preserve">помещение (зону) для отбора проб лекарственных средств в соответствии с требованиями </w:t>
            </w:r>
            <w:hyperlink r:id="rId17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ОФС «Отбор проб»</w:t>
              </w:r>
            </w:hyperlink>
            <w:r>
              <w:rPr>
                <w:color w:val="000000"/>
                <w:szCs w:val="24"/>
                <w:lang w:val="ru-RU"/>
              </w:rPr>
              <w:t>;</w:t>
            </w:r>
          </w:p>
          <w:p w:rsidR="00A20D57" w:rsidRDefault="00FB5B4E">
            <w:pPr>
              <w:numPr>
                <w:ilvl w:val="0"/>
                <w:numId w:val="3"/>
              </w:num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карантинного хранения лекарственных средств;</w:t>
            </w:r>
          </w:p>
          <w:p w:rsidR="00A20D57" w:rsidRDefault="00FB5B4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color w:val="000000"/>
                <w:szCs w:val="24"/>
              </w:rPr>
              <w:t>помещение (зону) для хранения забракованных, возвращенных, отозванных и/или лекарственных средств с истекшим сроком годности. Указанные лекарственные средства и места их хранения должны быть четко обозначены.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Может ли при отсутствии отдельного изолированного помещения "Зона хранения" выделяется в общем помещении?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Может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может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Только при отсутствии в обороте наркотических и психотропных лекарственных средств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Может, при наличии специального разрешения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Внутренняя отделка поверхности стен и потолков помещений для хранения лекарственных средств должна быть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гладкой, допускающей возможность проведения влажной уборки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выполнена обязательно с использованием матового или глянцевого кафеля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обязательно иметь пред чистовую отделку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любой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 уборке разлитых или рассыпанных лекарственных средств с целью полного устранения и предотвращения загрязнения других лекарственных средств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Должны разрабатываться специальные инструкции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Должны вестись записи в специальных журналах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Должен быть разработан график таких уборок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Ответственное лицо определяет порядок проведения уборки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 ручном способе разгрузочно-погрузочных работ высота укладки лекарственных средств не должна превышать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1,5 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2 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1,2 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1,8 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69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Лекарственные средства в помещениях для хранения должны размешаться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 в шкафах, на стеллажах, подтоварниках, поддонах и др.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 полу без поддона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 поддонах в несколько рядов без использования стеллажей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как угодно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Забракованные лекарственные средства должны быть идентифицированы и храниться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соответствующем помещении (зоне) в условиях, не допускающих их несанкционированного использования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отдельно отведенном помещении, не допускающем доступ посторонних лиц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отдельной коробке или емкости для хранения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любом свободном месте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При хранении лекарственных средств, требующих защиты от влияния факторов внешней среды (света, температуры, атмосферного состава воздуха и др.), необходимо обеспечить указанный в фармакопейной статье или нормативной документации режим хранения. Отклонения от регламентируемых условий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допускаются однократно только на краткосрочный период (не более 24 ч), если при этом специальные условия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допускаются не при каком условии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допускаются, но не более чем 3 раза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допускаются однократно только на краткосрочный период (не более 12 ч), если при этом специальные условия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Лекарственные средства с гигроскопическими свойствами необходимо хранить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при относительной влажности не более 50 %,  в упаковке, представляющей собой тару стеклянную для лекарственных средств, герметично укупоренную, или в упаковке с дополнительной защитой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при относительной влажности не более 60 % в упаковке, представляющей собой тару стеклянную для лекарственных средств, герметично укупоренную, или в упаковке с дополнительной защитой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 любой влажности и в любой упаковке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только в сухом помещении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Кристаллогидраты необходимо хранить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при температуре от 8 до 15 °С и относительной влажности воздуха не более 60 %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при температуре не выше 25 °С и относительной влажности воздуха не более 50 %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 любой температуре и влажности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при температуре не выше 5 °С и относительной влажности воздуха не более 60 %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Хранения термолабильных лекарственных средств должно осуществляться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специально оборудованных помещениях (холодильных камерах) или в помещениях для хранения, оснащенных достаточным количеством холодильных шкафов, холодильников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прохладном помещении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любом помещении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Только в морозильных камерах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Контроль температурного режима холодильного оборудования для  термолабильных лекарственных средств осуществляют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не реже двух раз в сутки.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каждые два часа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один раз в сутки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реже пяти раз в сутки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Режим "Хранить при температуре не выше 30 °С", предполагает интервал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30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15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Режим "Хранить при температуре не выше 25 °С ", предполагает интервал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 2 до 25 °С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15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Режим "Хранить при температуре не выше 15 °С  ", предполагает интервал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15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79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Режим "Хранить при температуре не выше 8 °С  ", предполагает интервал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8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Режим "Хранить при температуре не ниже 8 °С   ", предполагает интервал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 8 до 25 °С</w:t>
            </w:r>
            <w:r>
              <w:rPr>
                <w:color w:val="000000"/>
                <w:szCs w:val="24"/>
              </w:rPr>
              <w:br/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8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8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Режим "Хранить при температуре от 15 до 25 °С    ", предполагает интервал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15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30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25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от 2 до 15 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Правила хранения наркотических средств, психотропных веществ и их прекурсоров утверждены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Постановлением Правительства РФ от 31 декабря 2009 г. N 1148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Приказом Минздравсоцразвития РФ от 23.08.2010 № 706 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Приказом Минздравсоцразвития РФ от 09.12.2008 № 705 н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Приказом Министерства здравоохранения РФ от 10.02.2016 № 83 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Хранение наркотических средств, психотропных веществ и прекурсоров осуществляется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хранению наркотических средств, психотропных веществ и прекурсоров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всеми фармацевтическими организациями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юридическими лицами, имеющими лицензию на осуществление фармацевтической деятельности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руководитель фармацевтической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Помещение для наркотических средств, психотропных веществ и прекурсоров 1 категории предназначены для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прекурсорами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медицинских и ветеринарных организаций, предназначенные для хранения 15-дневного запаса наркотических средств и психотропных веществ, внесенных в </w:t>
            </w:r>
            <w:hyperlink r:id="rId18" w:anchor="dst100178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список II</w:t>
              </w:r>
            </w:hyperlink>
            <w:r>
              <w:rPr>
                <w:color w:val="000000"/>
                <w:szCs w:val="24"/>
                <w:lang w:val="ru-RU"/>
              </w:rPr>
              <w:t> перечня, и месячного запаса психотропных веществ, внесенных в </w:t>
            </w:r>
            <w:hyperlink r:id="rId19" w:anchor="dst100315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список III</w:t>
              </w:r>
            </w:hyperlink>
            <w:r>
              <w:rPr>
                <w:color w:val="000000"/>
                <w:szCs w:val="24"/>
                <w:lang w:val="ru-RU"/>
              </w:rPr>
              <w:t> 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 </w:t>
            </w:r>
            <w:hyperlink r:id="rId20" w:anchor="dst332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пунктом 1 статьи 25</w:t>
              </w:r>
            </w:hyperlink>
            <w:r>
              <w:rPr>
                <w:color w:val="000000"/>
                <w:szCs w:val="24"/>
                <w:lang w:val="ru-RU"/>
              </w:rPr>
              <w:t xml:space="preserve"> 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медицинских и ветеринарных организаций, предназначенные для хранения суточного запаса наркотических средств и психотропных веществ, внесенных в список </w:t>
            </w:r>
            <w:r>
              <w:rPr>
                <w:color w:val="000000"/>
                <w:szCs w:val="24"/>
              </w:rPr>
              <w:t>II</w:t>
            </w:r>
            <w:r>
              <w:rPr>
                <w:color w:val="000000"/>
                <w:szCs w:val="24"/>
                <w:lang w:val="ru-RU"/>
              </w:rPr>
              <w:t xml:space="preserve"> перечня, и трехдневного запаса психотропных веществ, внесенных в список III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Помещение для наркотических средств, психотропных веществ и прекурсоров 4 категории предназначены для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медицинских и ветеринарных организаций, предназначенные для хранения суточного запаса наркотических средств и психотропных веществ, внесенных в список </w:t>
            </w:r>
            <w:r>
              <w:rPr>
                <w:color w:val="000000"/>
                <w:szCs w:val="24"/>
              </w:rPr>
              <w:t>II</w:t>
            </w:r>
            <w:r>
              <w:rPr>
                <w:color w:val="000000"/>
                <w:szCs w:val="24"/>
                <w:lang w:val="ru-RU"/>
              </w:rPr>
              <w:t xml:space="preserve"> перечня, и трехдневного запаса психотропных веществ, внесенных в список III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медицинских и ветеринарных организаций, предназначенные для хранения 15-дневного запаса наркотических средств и психотропных веществ, внесенных в </w:t>
            </w:r>
            <w:hyperlink r:id="rId21" w:anchor="dst100178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список II</w:t>
              </w:r>
            </w:hyperlink>
            <w:r>
              <w:rPr>
                <w:color w:val="000000"/>
                <w:szCs w:val="24"/>
                <w:lang w:val="ru-RU"/>
              </w:rPr>
              <w:t> перечня, и месячного запаса психотропных веществ, внесенных в </w:t>
            </w:r>
            <w:hyperlink r:id="rId22" w:anchor="dst100315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список III</w:t>
              </w:r>
            </w:hyperlink>
            <w:r>
              <w:rPr>
                <w:color w:val="000000"/>
                <w:szCs w:val="24"/>
                <w:lang w:val="ru-RU"/>
              </w:rPr>
              <w:t> 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 </w:t>
            </w:r>
            <w:hyperlink r:id="rId23" w:anchor="dst332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пунктом 1 статьи 25</w:t>
              </w:r>
            </w:hyperlink>
            <w:r>
              <w:rPr>
                <w:color w:val="000000"/>
                <w:szCs w:val="24"/>
                <w:lang w:val="ru-RU"/>
              </w:rPr>
              <w:t xml:space="preserve"> 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прекурсорами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Помещение для наркотических средств, психотропных веществ и прекурсоров 2 категории предназначены для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прекурсорами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медицинских и ветеринарных организаций, предназначенные для хранения 15-дневного запаса наркотических средств и психотропных веществ, внесенных в </w:t>
            </w:r>
            <w:hyperlink r:id="rId24" w:anchor="dst100178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список II</w:t>
              </w:r>
            </w:hyperlink>
            <w:r>
              <w:rPr>
                <w:color w:val="000000"/>
                <w:szCs w:val="24"/>
                <w:lang w:val="ru-RU"/>
              </w:rPr>
              <w:t> перечня, и месячного запаса психотропных веществ, внесенных в </w:t>
            </w:r>
            <w:hyperlink r:id="rId25" w:anchor="dst100315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список III</w:t>
              </w:r>
            </w:hyperlink>
            <w:r>
              <w:rPr>
                <w:color w:val="000000"/>
                <w:szCs w:val="24"/>
                <w:lang w:val="ru-RU"/>
              </w:rPr>
              <w:t> 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 </w:t>
            </w:r>
            <w:hyperlink r:id="rId26" w:anchor="dst332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пунктом 1 статьи 25</w:t>
              </w:r>
            </w:hyperlink>
            <w:r>
              <w:rPr>
                <w:color w:val="000000"/>
                <w:szCs w:val="24"/>
                <w:lang w:val="ru-RU"/>
              </w:rPr>
              <w:t xml:space="preserve"> 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медицинских и ветеринарных организаций, предназначенные для хранения суточного запаса наркотических средств и психотропных веществ, внесенных в список </w:t>
            </w:r>
            <w:r>
              <w:rPr>
                <w:color w:val="000000"/>
                <w:szCs w:val="24"/>
              </w:rPr>
              <w:t>II</w:t>
            </w:r>
            <w:r>
              <w:rPr>
                <w:color w:val="000000"/>
                <w:szCs w:val="24"/>
                <w:lang w:val="ru-RU"/>
              </w:rPr>
              <w:t xml:space="preserve"> перечня, и трехдневного запаса психотропных веществ, внесенных в список III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Помещение для наркотических средств, психотропных веществ и прекурсоров 3 категории предназначены для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медицинских и ветеринарных организаций, предназначенные для хранения 15-дневного запаса наркотических средств и психотропных веществ, внесенных в список </w:t>
            </w:r>
            <w:r>
              <w:rPr>
                <w:color w:val="000000"/>
                <w:szCs w:val="24"/>
              </w:rPr>
              <w:t>II</w:t>
            </w:r>
            <w:r>
              <w:rPr>
                <w:color w:val="000000"/>
                <w:szCs w:val="24"/>
                <w:lang w:val="ru-RU"/>
              </w:rPr>
              <w:t xml:space="preserve"> перечня, и месячного запаса психотропных веществ, внесенных в список </w:t>
            </w:r>
            <w:r>
              <w:rPr>
                <w:color w:val="000000"/>
                <w:szCs w:val="24"/>
              </w:rPr>
              <w:t>III</w:t>
            </w:r>
            <w:r>
              <w:rPr>
                <w:color w:val="000000"/>
                <w:szCs w:val="24"/>
                <w:lang w:val="ru-RU"/>
              </w:rPr>
              <w:t xml:space="preserve"> 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прекурсорами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медицинских и ветеринарных организаций, предназначенные для хранения суточного запаса наркотических средств и психотропных веществ, внесенных в список </w:t>
            </w:r>
            <w:r>
              <w:rPr>
                <w:color w:val="000000"/>
                <w:szCs w:val="24"/>
              </w:rPr>
              <w:t>II</w:t>
            </w:r>
            <w:r>
              <w:rPr>
                <w:color w:val="000000"/>
                <w:szCs w:val="24"/>
                <w:lang w:val="ru-RU"/>
              </w:rPr>
              <w:t xml:space="preserve"> перечня, и трехдневного запаса психотропных веществ, внесенных в список III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Мест временного хранения, предназначенных для хранения наркотических средств и психотропных веществ могут содержать наркотические средства и психотропные вещества в количестве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не превышающем суточного запаса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не превышающем 3-х дневного запаса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не превышающем недельного запаса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не превышающем 15 дневного запаса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89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помещении, относящемся к 1-й категории, наркотические средства, психотропные вещества и прекурсоры хранятся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запирающихся сейфах или металлических шкафах. </w:t>
            </w:r>
          </w:p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только в запирающихся сейфах или металлических шкафах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картонных коробах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помещении, относящемся к 3-й категории, наркотические средства, психотропные вещества и прекурсоры хранятся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запирающихся сейфах или металлических шкафах. </w:t>
            </w:r>
          </w:p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только в запирающихся сейфах или металлических шкафах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картонных коробах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помещении, относящемся к 4-й категории, наркотические средства, психотропные вещества и прекурсоры хранятся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запирающихся сейфах или металлических шкафах. </w:t>
            </w:r>
          </w:p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только в запирающихся сейфах или металлических шкафах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картонных коробах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Наркотические средства и психотропные вещества, находящиеся на хранении в помещениях всех категорий и в местах временного хранения, подлежат учету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 специальных журналах регистрации операций, связанных с оборотом наркотических средств и психотропных веществ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подлежат учету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подлежат компьютерному учету по остаткам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подлежат учету в специальном журнале на начало и конец месяца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0093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>а первичной упаковке (за исключением первичной упаковки лекарственных растительных препаратов) должно указываться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наименование лекарственного препарата (международное непатентованное, или группировочное,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лекарственного препарата (международное непатентованное, или группировочное,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фармацевтической субстанции (международное непатентованное, или группировочное,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>а вторичной (потребительской) упаковке должно указываться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лекарственного препарата (международное непатентованное, или группировочное,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фармацевтической субстанции (международное непатентованное, или группировочное,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наименование лекарственного препарата (международное непатентованное, или группировочное,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Товарный знак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позволяет дифференцировать фармпродукцию от товаров конкурирующих холдингов и предприятий.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это специальное кодовое значение, которое содержит подробные сведения о физико-химических особенностях товара и его стоимости.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свидетельствует о том, что фармпродукция полностью соответствует утвержденным стандартам.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представляет собой нанесение специального кода и занесение его в единую информационную базу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Штрих-код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это специальное кодовое значение, которое содержит подробные сведения о физико-химических особенностях товара и его стоимости.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позволяет дифференцировать фармпродукцию от товаров конкурирующих холдингов и предприятий.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свидетельствует о том, что фармпродукция полностью соответствует утвержденным стандартам.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представляет собой нанесение специального кода и занесение его в единую информационную базу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Знак качества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свидетельствует о том, что фармпродукция полностью соответствует утвержденным стандартам.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это специальное кодовое значение, которое содержит подробные сведения о физико-химических особенностях товара и его стоимости.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позволяет дифференцировать фармпродукцию от товаров конкурирующих холдингов и предприятий.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представляет собой нанесение специального кода и занесение его в единую информационную базу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C81992">
            <w:hyperlink r:id="rId27">
              <w:r w:rsidR="00FB5B4E">
                <w:rPr>
                  <w:rStyle w:val="-"/>
                  <w:color w:val="000000"/>
                  <w:szCs w:val="24"/>
                  <w:u w:val="none"/>
                  <w:lang w:val="ru-RU"/>
                </w:rPr>
                <w:t>Маркировка ЛП</w:t>
              </w:r>
            </w:hyperlink>
            <w:r w:rsidR="00FB5B4E"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представляет собой нанесение специального кода и занесение его в единую информационную базу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свидетельствует о том, что фармпродукция полностью соответствует утвержденным стандартам.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это специальное кодовое значение, которое содержит подробные сведения о физико-химических особенностях товара и его стоимости.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позволяет дифференцировать фармпродукцию от товаров конкурирующих холдингов и предприятий.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ru-RU"/>
              </w:rPr>
              <w:t>99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с защитой от несанкционированного вскрытия (упаковка с</w:t>
            </w:r>
          </w:p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контролем</w:t>
            </w:r>
            <w:r>
              <w:rPr>
                <w:color w:val="000000"/>
                <w:szCs w:val="24"/>
                <w:lang w:val="ru-RU"/>
              </w:rPr>
              <w:t xml:space="preserve"> первого вскрытия</w:t>
            </w:r>
            <w:r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  <w:lang w:val="ru-RU"/>
              </w:rPr>
              <w:t xml:space="preserve"> 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предусматривающая невозможность использования ее содержимого без очевидного нарушения специального элемента упаковки,</w:t>
            </w:r>
            <w:r>
              <w:rPr>
                <w:color w:val="000000"/>
                <w:spacing w:val="-1"/>
                <w:szCs w:val="24"/>
                <w:lang w:val="ru-RU"/>
              </w:rPr>
              <w:t xml:space="preserve"> необратимо изменяющегося при </w:t>
            </w:r>
            <w:r>
              <w:rPr>
                <w:color w:val="000000"/>
                <w:szCs w:val="24"/>
                <w:lang w:val="ru-RU"/>
              </w:rPr>
              <w:t>первом вскрытии, что позволяет отслеживать признаки любого нарушения целостности упаковки.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трудно доступная для вскрытия маленькими детьми, но возможная к использованию взрослыми людьми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твердых, жидких и газообразных веществ, и/или потери содержимого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твердых, жидких и газообразных веществ, и/или потери содержимого, выветривания, расплывания или испарения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с защитой от вскрытия детьми-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трудно доступная для вскрытия маленькими детьми, но возможная к использованию взрослыми людьми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предусматривающая невозможность использования ее содержимого без очевидного нарушения специального элемента упаковки,</w:t>
            </w:r>
            <w:r>
              <w:rPr>
                <w:color w:val="000000"/>
                <w:spacing w:val="-1"/>
                <w:szCs w:val="24"/>
                <w:lang w:val="ru-RU"/>
              </w:rPr>
              <w:t xml:space="preserve"> необратимо изменяющегося при </w:t>
            </w:r>
            <w:r>
              <w:rPr>
                <w:color w:val="000000"/>
                <w:szCs w:val="24"/>
                <w:lang w:val="ru-RU"/>
              </w:rPr>
              <w:t>первом вскрытии, что позволяет отслеживать признаки любого нарушения целостности упаковки.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твердых, жидких и газообразных веществ, и/или потери содержимого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твердых, жидких и газообразных веществ, и/или потери содержимого, выветривания, расплывания или испарения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Хорошо укупоренная упаковка-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твердых, жидких и газообразных веществ, и/или потери содержимого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твердых, жидких и газообразных веществ, и/или потери содержимого, выветривания, расплывания или испарения при обычных условиях хранения, транспортирования и реализации упаковка, обеспечивающая защиту содержимого от попадания извне посторонних твердых, жидких и газообразных веществ, и/или потери содержимого, выветривания, расплывания или испарения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предусматривающая невозможность использования ее содержимого без очевидного нарушения специального элемента упаковки,</w:t>
            </w:r>
            <w:r>
              <w:rPr>
                <w:color w:val="000000"/>
                <w:spacing w:val="-1"/>
                <w:szCs w:val="24"/>
                <w:lang w:val="ru-RU"/>
              </w:rPr>
              <w:t xml:space="preserve"> необратимо изменяющегося при </w:t>
            </w:r>
            <w:r>
              <w:rPr>
                <w:color w:val="000000"/>
                <w:szCs w:val="24"/>
                <w:lang w:val="ru-RU"/>
              </w:rPr>
              <w:t>первом вскрытии, что позволяет отслеживать признаки любого нарушения целостности упаковки.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трудно доступная для вскрытия маленькими детьми, но возможная к использованию взрослыми людьми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Герметично укупоренная упаковка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веществ, и/или потери содержимого, обеспечивающая непроницаемость для твердых, жидких и газообразных веществ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герметичность с помощью расплавления материала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воздуха, газов, паров и других газообразных  веществ 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воды, влаги и других жидких веществ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Герметично запаянная упаковка-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герметичность с помощью расплавления материала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веществ, и/или потери содержимого, обеспечивающая непроницаемость для твердых, жидких и газообразных веществ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воздуха, газов, паров и других газообразных  веществ 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воды, влаги и других жидких веществ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Воздухонепроницаемая упаковка-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воздуха, газов, паров и других газообразных  веществ 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внутреннее давление в которой ниже атмосферного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внутри которой сохраняется заданная температура в течение установленного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действия световой энергии за счет особенных свойств используемого упаковочного материла или за счет специального покрытия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Влагонепроницаемая упаковка –это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воды, влаги и других жидких веществ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попадания извне посторонних веществ, и/или потери содержимого, обеспечивающая непроницаемость для твердых, жидких и газообразных веществ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герметичность с помощью расплавления материала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воздуха, газов, паров и других газообразных  веществ  при обычных условиях хранения, транспортирования и реализации.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Светозащитная упаковка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действия световой энергии за счет особенных свойств используемого упаковочного материла или за счет специального покрытия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воздуха, газов, паров и других газообразных  веществ 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внутреннее давление в которой ниже атмосферного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внутри которой сохраняется заданная температура в течение установленного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Изотермическая упаковка-</w:t>
            </w:r>
            <w:r>
              <w:rPr>
                <w:color w:val="000000"/>
                <w:szCs w:val="24"/>
                <w:lang w:val="ru-RU"/>
              </w:rPr>
              <w:t xml:space="preserve">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внутри которой сохраняется заданная температура в течение установленного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воздуха, газов, паров и других газообразных  веществ 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внутреннее давление в которой ниже атмосферного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действия световой энергии за счет особенных свойств используемого упаковочного материла или за счет специального покрытия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Вакуумная упаковка –это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внутреннее давление в которой ниже атмосферного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внутри которой сохраняется заданная температура в течение установленного времени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плотно укупоренная упаковка, обеспечивающая непроницаемость для воздуха, газов, паров и других газообразных  веществ  при обычных условиях хранения, транспортирования и реализации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обеспечивающая защиту содержимого от действия световой энергии за счет особенных свойств используемого упаковочного материла или за счет специального покрытия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109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Одноразовая упаковка 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предназначенном для полного использования непосредственно после вскрытия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которое предполагается использовать многократно по частям, последовательно отбирая содержащееся в ней лекарственное средство без изменения безопасности, качества или чистоты оставшейся части лекарственного средства до его полного использования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лекарственный препарат в твердой, мягкой или жидкой лекарственной форме в количестве, соответствующем одной дозе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содержащая лекарственное средство в к</w:t>
            </w:r>
            <w:r>
              <w:rPr>
                <w:color w:val="000000"/>
                <w:spacing w:val="-2"/>
                <w:szCs w:val="24"/>
                <w:lang w:val="ru-RU"/>
              </w:rPr>
              <w:t xml:space="preserve">оличестве, </w:t>
            </w:r>
            <w:r>
              <w:rPr>
                <w:color w:val="000000"/>
                <w:szCs w:val="24"/>
                <w:lang w:val="ru-RU"/>
              </w:rPr>
              <w:t>соответствующем более одной дозы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Многоразовая упаковка -</w:t>
            </w:r>
            <w:r>
              <w:rPr>
                <w:color w:val="000000"/>
                <w:szCs w:val="24"/>
                <w:lang w:val="ru-RU"/>
              </w:rPr>
              <w:t xml:space="preserve">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которое предполагается использовать многократно по частям, последовательно отбирая содержащееся в ней лекарственное средство без изменения безопасности, качества или чистоты оставшейся части лекарственного средства до его полного использования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предназначенном для полного использования непосредственно после вскрытия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лекарственный препарат в твердой, мягкой или жидкой лекарственной форме в количестве, соответствующем одной дозе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содержащая лекарственное средство в к</w:t>
            </w:r>
            <w:r>
              <w:rPr>
                <w:color w:val="000000"/>
                <w:spacing w:val="-2"/>
                <w:szCs w:val="24"/>
                <w:lang w:val="ru-RU"/>
              </w:rPr>
              <w:t xml:space="preserve">оличестве, </w:t>
            </w:r>
            <w:r>
              <w:rPr>
                <w:color w:val="000000"/>
                <w:szCs w:val="24"/>
                <w:lang w:val="ru-RU"/>
              </w:rPr>
              <w:t>соответствующем более одной дозы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Однодозовая упаковка – </w:t>
            </w:r>
            <w:r>
              <w:rPr>
                <w:color w:val="000000"/>
                <w:szCs w:val="24"/>
                <w:lang w:val="ru-RU"/>
              </w:rPr>
              <w:t>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лекарственный препарат в твердой, мягкой или жидкой лекарственной форме в количестве, соответствующем одной дозе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которое предполагается использовать многократно по частям, последовательно отбирая содержащееся в ней лекарственное средство без изменения безопасности, качества или чистоты оставшейся части лекарственного средства до его полного использования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предназначенном для полного использования непосредственно после вскрытия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содержащая лекарственное средство в к</w:t>
            </w:r>
            <w:r>
              <w:rPr>
                <w:color w:val="000000"/>
                <w:spacing w:val="-2"/>
                <w:szCs w:val="24"/>
                <w:lang w:val="ru-RU"/>
              </w:rPr>
              <w:t xml:space="preserve">оличестве, </w:t>
            </w:r>
            <w:r>
              <w:rPr>
                <w:color w:val="000000"/>
                <w:szCs w:val="24"/>
                <w:lang w:val="ru-RU"/>
              </w:rPr>
              <w:t>соответствующем более одной дозы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Многодозовая упаковка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содержащая лекарственное средство в к</w:t>
            </w:r>
            <w:r>
              <w:rPr>
                <w:color w:val="000000"/>
                <w:spacing w:val="-2"/>
                <w:szCs w:val="24"/>
                <w:lang w:val="ru-RU"/>
              </w:rPr>
              <w:t xml:space="preserve">оличестве, </w:t>
            </w:r>
            <w:r>
              <w:rPr>
                <w:color w:val="000000"/>
                <w:szCs w:val="24"/>
                <w:lang w:val="ru-RU"/>
              </w:rPr>
              <w:t>соответствующем более одной дозы лекарственного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лекарственный препарат в твердой, мягкой или жидкой лекарственной форме в количестве, соответствующем одной дозе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которое предполагается использовать многократно по частям, последовательно отбирая содержащееся в ней лекарственное средство без изменения безопасности, качества или чистоты оставшейся части лекарственного средства до его полного использования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содержащая лекарственное средство в количестве, предназначенном для полного использования непосредственно после вскрытия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Ампула –это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полимерного материала, имеющая цилиндрический корпус с вытянутой горловиной, герметично запаиваемой после наполнения лекарственным средством, с плоским или выпуклым (вогнутым) дном, открываемая исключительно путем разламывания. Содержимое предназначено для однократного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имеющая корпус каплеобразной, шарообразной или цилиндрической формы, со сферическим или вогнутым дном, с узкой горловиной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герметично закрытая первичная упаковка из стекла, полимерных материалов или металла, имеющая корпус цилиндрической формы с узкой горловиной, укупориваемая с помощью клапанно-распылительной системы (дозирующей или недозирующей), внутри которой сохраняется заданное давление, позволяющее проводить распыление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корпус преимущественно цилиндрической или другой формы с горловиной, диаметр которой равен диаметру корпуса или меньше его,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Баллон –</w:t>
            </w:r>
            <w:r>
              <w:rPr>
                <w:color w:val="000000"/>
                <w:szCs w:val="24"/>
                <w:lang w:val="ru-RU"/>
              </w:rPr>
              <w:t xml:space="preserve">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имеющая корпус каплеобразной, шарообразной или цилиндрической формы, со сферическим или вогнутым дном, с узкой горловиной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герметично закрытая первичная упаковка из стекла, полимерных материалов или металла, имеющая корпус цилиндрической формы с узкой горловиной, укупориваемая с помощью клапанно-распылительной системы (дозирующей или недозирующей), внутри которой сохраняется заданное давление, позволяющее проводить распыление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корпус преимущественно цилиндрической или другой формы с горловиной, диаметр которой равен диаметру корпуса или меньше его,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преимущественно цилиндрический корпус разнообразной формы, переходящий в узкую горловину,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  <w:r>
              <w:rPr>
                <w:color w:val="000000"/>
                <w:szCs w:val="24"/>
                <w:lang w:val="ru-RU"/>
              </w:rPr>
              <w:t>15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Баллон аэрозольный (аэрозольная упаковка) –- </w:t>
            </w:r>
            <w:r>
              <w:rPr>
                <w:color w:val="000000"/>
                <w:szCs w:val="24"/>
                <w:lang w:val="ru-RU"/>
              </w:rPr>
              <w:t>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герметично закрытая первичная упаковка из стекла, полимерных материалов или металла, имеющая корпус цилиндрической формы с узкой горловиной, укупориваемая с помощью клапанно-распылительной системы (дозирующей или недозирующей), внутри которой сохраняется заданное давление, позволяющее проводить распыление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корпус преимущественно цилиндрической или другой формы с горловиной, диаметр которой равен диаметру корпуса или меньше его,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имеющая корпус каплеобразной, шарообразной или цилиндрической формы, со сферическим или вогнутым дном, с узкой горловиной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преимущественно цилиндрический корпус разнообразной формы, переходящий в узкую горловину,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Банка –это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корпус преимущественно цилиндрической или другой формы с горловиной, диаметр которой равен диаметру корпуса или меньше его,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преимущественно цилиндрический корпус разнообразной формы, переходящий в узкую горловину,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медицинского бесцветного или светозащитного стекла или из полимерного материала с цилиндрическим корпусом, переходящим в более или менее выраженную узкую горловину, с плоским или вогнутым дном вместимостью свыше 3000 мл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преимущественно цилиндрический корпус разнообразной формы, переходящий в узкую горловину,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Бутылка – </w:t>
            </w:r>
            <w:r>
              <w:rPr>
                <w:color w:val="000000"/>
                <w:szCs w:val="24"/>
                <w:lang w:val="ru-RU"/>
              </w:rPr>
              <w:t>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преимущественно цилиндрический корпус разнообразной формы, переходящий в узкую горловину,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медицинского бесцветного или светозащитного стекла или из полимерного материала с цилиндрическим корпусом, переходящим в более или менее выраженную узкую горловину, с плоским или вогнутым дном вместимостью свыше 3000 мл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полимерного материала или металла с корпусом, имеющим в сечении, параллельном дну, форму, близкую к прямоугольной или многоугольной, с приспособлением для переноса, сливной горловиной и крышкой с затвором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единица транспортного оборудования многократного применения, предназначенная для перевозки  и временного хранения грузов без промежуточных перегрузок, удобная для механизированной загрузки и разгрузки, погрузки и выгрузки, внутренним объемом, равным 1м</w:t>
            </w:r>
            <w:r>
              <w:rPr>
                <w:color w:val="000000"/>
                <w:szCs w:val="24"/>
                <w:vertAlign w:val="superscript"/>
                <w:lang w:val="ru-RU"/>
              </w:rPr>
              <w:t>3</w:t>
            </w:r>
            <w:r>
              <w:rPr>
                <w:color w:val="000000"/>
                <w:szCs w:val="24"/>
                <w:lang w:val="ru-RU"/>
              </w:rPr>
              <w:t xml:space="preserve"> и более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Бутыль – </w:t>
            </w:r>
            <w:r>
              <w:rPr>
                <w:color w:val="000000"/>
                <w:szCs w:val="24"/>
                <w:lang w:val="ru-RU"/>
              </w:rPr>
              <w:t>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медицинского бесцветного или светозащитного стекла или из полимерного материала с цилиндрическим корпусом, переходящим в более или менее выраженную узкую горловину, с плоским или вогнутым дном вместимостью свыше 3000 мл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из полимерного материала, имеющая преимущественно цилиндрический корпус разнообразной формы, переходящий в узкую горловину,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полимерного материала или металла с корпусом, имеющим в сечении, параллельном дну, форму, близкую к прямоугольной или многоугольной, с приспособлением для переноса, сливной горловиной и крышкой с затвором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единица транспортного оборудования многократного применения, предназначенная для перевозки  и временного хранения грузов без промежуточных перегрузок, удобная для механизированной загрузки и разгрузки, погрузки и выгрузки, внутренним объемом, равным 1м</w:t>
            </w:r>
            <w:r>
              <w:rPr>
                <w:color w:val="000000"/>
                <w:szCs w:val="24"/>
                <w:vertAlign w:val="superscript"/>
                <w:lang w:val="ru-RU"/>
              </w:rPr>
              <w:t>3</w:t>
            </w:r>
            <w:r>
              <w:rPr>
                <w:color w:val="000000"/>
                <w:szCs w:val="24"/>
                <w:lang w:val="ru-RU"/>
              </w:rPr>
              <w:t xml:space="preserve"> и более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119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Канистра –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полимерного материала или металла с корпусом, имеющим в сечении, параллельном дну, форму, близкую к прямоугольной или многоугольной, с приспособлением для переноса, сливной горловиной и крышкой с затвором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единица транспортного оборудования многократного применения, предназначенная для перевозки  и временного хранения грузов без промежуточных перегрузок, удобная для механизированной загрузки и разгрузки, погрузки и выгрузки, внутренним объемом, равным 1м</w:t>
            </w:r>
            <w:r>
              <w:rPr>
                <w:color w:val="000000"/>
                <w:szCs w:val="24"/>
                <w:vertAlign w:val="superscript"/>
                <w:lang w:val="ru-RU"/>
              </w:rPr>
              <w:t>3</w:t>
            </w:r>
            <w:r>
              <w:rPr>
                <w:color w:val="000000"/>
                <w:szCs w:val="24"/>
                <w:lang w:val="ru-RU"/>
              </w:rPr>
              <w:t xml:space="preserve"> и более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стекла или полимерных материалов, обычно цилиндрической формы, подходящая для жидких или твердых дозированных лекарственных форм; предназначенная, главным образом, для использования в специально сконструированных аппаратах (например, шприц-ручках)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Контейнер (грузовой контейнер) -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единица транспортного оборудования многократного применения, предназначенная для перевозки  и временного хранения грузов без промежуточных перегрузок, удобная для механизированной загрузки и разгрузки, погрузки и выгрузки, внутренним объемом, равным 1м</w:t>
            </w:r>
            <w:r>
              <w:rPr>
                <w:color w:val="000000"/>
                <w:szCs w:val="24"/>
                <w:vertAlign w:val="superscript"/>
                <w:lang w:val="ru-RU"/>
              </w:rPr>
              <w:t>3</w:t>
            </w:r>
            <w:r>
              <w:rPr>
                <w:color w:val="000000"/>
                <w:szCs w:val="24"/>
                <w:lang w:val="ru-RU"/>
              </w:rPr>
              <w:t xml:space="preserve"> и более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стекла или полимерных материалов, обычно цилиндрической формы, подходящая для жидких или твердых дозированных лекарственных форм; предназначенная, главным образом, для использования в специально сконструированных аппаратах (например, шприц-ручках)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представляющая собой замкнутую эластичную, герметичную, стерильную систему однократного применения, предназначенную для взятия крови, разделения ее на компоненты, хранения, транспортирования и переливания крови и ее компонентов; состоящая из основной емкости для крови и дополнительных емкостей для компонентов крови и соединительных трубок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Картридж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стекла или полимерных материалов, обычно цилиндрической формы, подходящая для жидких или твердых дозированных лекарственных форм; предназначенная, главным образом, для использования в специально сконструированных аппаратах (например, шприц-ручках)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представляющая собой замкнутую эластичную, герметичную, стерильную систему однократного применения, предназначенную для взятия крови, разделения ее на компоненты, хранения, транспортирования и переливания крови и ее компонентов; состоящая из основной емкости для крови и дополнительных емкостей для компонентов крови и соединительных трубок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гибкая упаковка из комбинированных материалов с лекарственным средством, запечатанным между двумя слоями упаковки, из которых лекарственное средство извлекается путем разрыва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Контейнер полимерный для крови и ее компонентов однократного применения –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представляющая собой замкнутую эластичную, герметичную, стерильную систему однократного применения, предназначенную для взятия крови, разделения ее на компоненты, хранения, транспортирования и переливания крови и ее компонентов; состоящая из основной емкости для крови и дополнительных емкостей для компонентов крови и соединительных трубок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гибкая упаковка из комбинированных материалов с лекарственным средством, запечатанным между двумя слоями упаковки, из которых лекарственное средство извлекается путем разрыва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стекла или полимерных материалов, обычно цилиндрической формы, подходящая для жидких или твердых дозированных лекарственных форм; предназначенная, главным образом, для использования в специально сконструированных аппаратах (например, шприц-ручках)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представляющая собой замкнутую эластичную, герметичную, стерильную систему однократного применения, предназначенную для взятия крови, разделения ее на компоненты, хранения, транспортирования и переливания крови и ее компонентов; состоящая из основной емкости для крови и дополнительных емкостей для компонентов крови и соединительных трубок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Контурная безъячейковая упаковка (стрип)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гибкая упаковка из комбинированных материалов с лекарственным средством, запечатанным между двумя слоями упаковки, из которых лекарственное средство извлекается путем разрыва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стекла или полимерных материалов, обычно цилиндрической формы, подходящая для жидких или твердых дозированных лекарственных форм; предназначенная, главным образом, для использования в специально сконструированных аппаратах (например, шприц-ручках)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представляющая собой замкнутую эластичную, герметичную, стерильную систему однократного применения, предназначенную для взятия крови, разделения ее на компоненты, хранения, транспортирования и переливания крови и ее компонентов; состоящая из основной емкости для крови и дополнительных емкостей для компонентов крови и соединительных трубок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гибкая упаковка из комбинированных материалов, состоящая из двух слоев, один из которых представляет собой термоформованные ячейки, повторяющие форму упаковываемого лекарственного препарата; лекарственное средство из упаковки извлекается путем выдавливания или вскрытия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Контурная ячейковая упаковка (блистер) -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гибкая упаковка из комбинированных материалов, состоящая из двух слоев, один из которых представляет собой термоформованные ячейки, повторяющие форму упаковываемого лекарственного препарата; лекарственное средство из упаковки извлекается путем выдавливания или вскрытия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гибкая упаковка из комбинированных материалов с лекарственным средством, запечатанным между двумя слоями упаковки, из которых лекарственное средство извлекается путем разрыва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стекла или полимерных материалов, обычно цилиндрической формы, подходящая для жидких или твердых дозированных лекарственных форм; предназначенная, главным образом, для использования в специально сконструированных аппаратах (например, шприц-ручках)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представляющая собой замкнутую эластичную, герметичную, стерильную систему однократного применения, предназначенную для взятия крови, разделения ее на компоненты, хранения, транспортирования и переливания крови и ее компонентов; состоящая из основной емкости для крови и дополнительных емкостей для компонентов крови и соединительных трубок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Коробка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картона или полимерного материала, имеющая корпус разнообразной формы, с плоским дном, закрываемая клапаном или крышкой съемной или на шарнире, или в форме обечайки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транспортная мягкая упаковка, имеющая корпус в форме рукава с дном и открытым верхом (горловиной) или закрытым верхом с клапаном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произведенная на основе бумаги, фольги, полимерного материала, имеющая корпус в виде рукава с дном и открытым верхом,</w:t>
            </w:r>
            <w:r>
              <w:rPr>
                <w:color w:val="000000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преимущественно гибкая, состоящая из поверхностей, без или с плоским дном, закрываемая на дне или по сторонам методом склеивания, термосваривания или сшивания; верх может быть закрыт путем сплавления материалов, в зависимости от предназначения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упаковка, представляющая собой наложенные одна на другую, как правило, плоские, одинаковые по размеру, потребительские упаковки, например, пачки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Мешок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транспортная мягкая упаковка, имеющая корпус в форме рукава с дном и открытым верхом (горловиной) или закрытым верхом с клапаном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произведенная на основе бумаги, фольги, полимерного материала, имеющая корпус в виде рукава с дном и открытым верхом,</w:t>
            </w:r>
            <w:r>
              <w:rPr>
                <w:color w:val="000000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преимущественно гибкая, состоящая из поверхностей, без или с плоским дном, закрываемая на дне или по сторонам методом склеивания, термосваривания или сшивания; верх может быть закрыт путем сплавления материалов, в зависимости от предназначения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упаковка, представляющая собой наложенные одна на другую, как правило, плоские, одинаковые по размеру, потребительские упаковки, например, пачки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картона или полимерного материала, имеющая корпус разнообразной формы, с плоским дном, закрываемая клапаном или крышкой съемной или на шарнире, или в форме обечайки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Пакет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упаковка, произведенная на основе бумаги, фольги, полимерного материала, имеющая корпус в виде рукава с дном и открытым верхом,</w:t>
            </w:r>
            <w:r>
              <w:rPr>
                <w:color w:val="000000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преимущественно гибкая, состоящая из поверхностей, без или с плоским дном, закрываемая на дне или по сторонам методом склеивания, термосваривания или сшивания; верх может быть закрыт путем сплавления материалов, в зависимости от предназначения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транспортная мягкая упаковка, имеющая корпус в форме рукава с дном и открытым верхом (горловиной) или закрытым верхом с клапаном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упаковка, представляющая собой наложенные одна на другую, как правило, плоские, одинаковые по размеру, потребительские упаковки, например, пачки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картона или полимерного материала, имеющая корпус разнообразной формы, с плоским дном, закрываемая клапаном или крышкой съемной или на шарнире, или в форме обечайки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Стопа  –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упаковка, представляющая собой наложенные одна на другую, как правило, плоские, одинаковые по размеру, потребительские упаковки, например, пачки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картона или полимерного материала, имеющая корпус разнообразной формы, с плоским дном, закрываемая клапаном или крышкой съемной или на шарнире, или в форме обечайки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упаковка, изготовленная из гибких металлических, полимерных или комбинированных материалов, имеющая корпус преимущественно цилиндрической формы с узкой горловиной, укупориваемой колпачком (бушоном), и дном, закрываемым после наполнения лекарственным средством. Высвобождение лекарственного средства осуществляется через горловину путем сдавливания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транспортная жесткая упаковка с прямоугольными или многоугольными сторонами, с дном, двумя торцевыми и боковыми стенками, с крышкой или без нее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129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Туба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упаковка, изготовленная из гибких металлических, полимерных или комбинированных материалов, имеющая корпус преимущественно цилиндрической формы с узкой горловиной, укупориваемой колпачком (бушоном), и дном, закрываемым после наполнения лекарственным средством. Высвобождение лекарственного средства осуществляется через горловину путем сдавливания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клапаном или винтовой горловиной, с защитным колпачком, обеспечивающая принудительное истечение находящегося в ней лекарственного средства (жидкости) через каплеобразователь при надавливании на корпус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нанесенной на горловину резьбой и инъекционной иглой с защитным колпачком, обеспечивающая принудительное истечение находящегося в ней содержимого (инъекционных растворов) через иглу при сжатии корпуса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первичная упаковка, представляющая собой флакон с гладкой горловиной и прямоугольным венчиком, предназначенный для укупоривания пробкой и алюминиевым закатываемым или обжимным колпачком, вместимостью от 5 до 30 мл</w:t>
            </w:r>
            <w:r>
              <w:rPr>
                <w:color w:val="000000"/>
                <w:szCs w:val="24"/>
                <w:vertAlign w:val="superscript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Тюбик-капельница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клапаном или винтовой горловиной, с защитным колпачком, обеспечивающая принудительное истечение находящегося в ней лекарственного средства (жидкости) через каплеобразователь при надавливании на корпус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упаковка, изготовленная из гибких металлических, полимерных или комбинированных материалов, имеющая корпус преимущественно цилиндрической формы с узкой горловиной, укупориваемой колпачком (бушоном), и дном, закрываемым после наполнения лекарственным средством. Высвобождение лекарственного средства осуществляется через горловину путем сдавливания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нанесенной на горловину резьбой и инъекционной иглой с защитным колпачком, обеспечивающая принудительное истечение находящегося в ней содержимого (инъекционных растворов) через иглу при сжатии корпуса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первичная упаковка, представляющая собой флакон с гладкой горловиной и прямоугольным венчиком, предназначенный для укупоривания пробкой и алюминиевым закатываемым или обжимным колпачком, вместимостью от 5 до 30 мл</w:t>
            </w:r>
            <w:r>
              <w:rPr>
                <w:color w:val="000000"/>
                <w:szCs w:val="24"/>
                <w:vertAlign w:val="superscript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Флакон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полимерного материала, имеющая корпус разнообразной формы, резко переходящий в горловину, диаметр венчика которой значительно меньше диаметра корпуса,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система упаковки, представляющая собой флакон из медицинского бесцветного или светозащитного стекла или полимерного материала, с винтовой горловиной, укомплектованный навинчиваемой крышкой и пробкой-капельницей, обеспечивающей свободное или принудительное истечение жидких лекарственных средств с заданной скоростью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нанесенной на горловину резьбой и инъекционной иглой с защитным колпачком, обеспечивающая принудительное истечение находящегося в ней содержимого (инъекционных растворов) через иглу при сжатии корпуса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первичная упаковка, представляющая собой флакон с гладкой горловиной и прямоугольным венчиком, предназначенный для укупоривания пробкой и алюминиевым закатываемым или обжимным колпачком, вместимостью от 5 до 30 мл</w:t>
            </w:r>
            <w:r>
              <w:rPr>
                <w:color w:val="000000"/>
                <w:szCs w:val="24"/>
                <w:vertAlign w:val="superscript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Флакон-капельница –это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система упаковки, представляющая собой флакон из медицинского бесцветного или светозащитного стекла или полимерного материала, с винтовой горловиной, укомплектованный навинчиваемой крышкой и пробкой-капельницей, обеспечивающей свободное или принудительное истечение жидких лекарственных средств с заданной скоростью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медицинского бесцветного или светозащитного стекла или полимерного материала, имеющая корпус разнообразной формы, резко переходящий в горловину, диаметр венчика которой значительно меньше диаметра корпуса, с плоским или вогнутым дном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нанесенной на горловину резьбой и инъекционной иглой с защитным колпачком, обеспечивающая принудительное истечение находящегося в ней содержимого (инъекционных растворов) через иглу при сжатии корпуса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первичная упаковка, представляющая собой флакон с гладкой горловиной и прямоугольным венчиком, предназначенный для укупоривания пробкой и алюминиевым закатываемым или обжимным колпачком, вместимостью от 5 до 30 мл</w:t>
            </w:r>
            <w:r>
              <w:rPr>
                <w:color w:val="000000"/>
                <w:szCs w:val="24"/>
                <w:vertAlign w:val="superscript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Флакон из трубки стеклянной (дрота) 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первичная упаковка, представляющая собой флакон с гладкой горловиной и прямоугольным венчиком, предназначенный для укупоривания пробкой и алюминиевым закатываемым или обжимным колпачком, вместимостью от 5 до 30 мл</w:t>
            </w:r>
            <w:r>
              <w:rPr>
                <w:color w:val="000000"/>
                <w:szCs w:val="24"/>
                <w:vertAlign w:val="superscript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система упаковки, представляющая собой флакон из медицинского бесцветного или светозащитного стекла или полимерного материала, с винтовой горловиной, укомплектованный навинчиваемой крышкой и пробкой-капельницей, обеспечивающей свободное или принудительное истечение жидких лекарственных средств с заданной скоростью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нанесенной на горловину резьбой и инъекционной иглой с защитным колпачком, обеспечивающая принудительное истечение находящегося в ней содержимого (инъекционных растворов) через иглу при сжатии корпуса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клапаном или винтовой горловиной, с защитным колпачком, обеспечивающая принудительное истечение находящегося в ней лекарственного средства (жидкости) через каплеобразователь при надавливании на корпус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Шприц-тюбик –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нанесенной на горловину резьбой и инъекционной иглой с защитным колпачком, обеспечивающая принудительное истечение находящегося в ней содержимого (инъекционных растворов) через иглу при сжатии корпуса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 из эластичного полимерного материала с клапаном или винтовой горловиной, с защитным колпачком, обеспечивающая принудительное истечение находящегося в ней лекарственного средства (жидкости) через каплеобразователь при надавливании на корпус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первичная упаковка, представляющая собой флакон с гладкой горловиной и прямоугольным венчиком, предназначенный для укупоривания пробкой и алюминиевым закатываемым или обжимным колпачком, вместимостью от 5 до 30 мл</w:t>
            </w:r>
            <w:r>
              <w:rPr>
                <w:color w:val="000000"/>
                <w:szCs w:val="24"/>
                <w:vertAlign w:val="superscript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система упаковки, представляющая собой флакон из медицинского бесцветного или светозащитного стекла или полимерного материала, с винтовой горловиной, укомплектованный навинчиваемой крышкой и пробкой-капельницей, обеспечивающей свободное или принудительное истечение жидких лекарственных средств с заданной скоростью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Ящик –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транспортная жесткая упаковка с прямоугольными или многоугольными сторонами, с дном, двумя торцевыми и боковыми стенками, с крышкой или без нее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упаковка, представляющая собой наложенные одна на другую, как правило, плоские, одинаковые по размеру, потребительские упаковки, например, пачки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 из картона или полимерного материала, имеющая корпус разнообразной формы, с плоским дном, закрываемая клапаном или крышкой съемной или на шарнире, или в форме обечайки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первичная упаковка, изготовленная из гибких металлических, полимерных или комбинированных материалов, имеющая корпус преимущественно цилиндрической формы с узкой горловиной, укупориваемой колпачком (бушоном), и дном, закрываемым после наполнения лекарственным средством. Высвобождение лекарственного средства осуществляется через горловину путем сдавливания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Жесткая упаковка-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не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чувствительная к воздействию динамических нагрузок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изготовленная из легко сгибаемых упаковочных материалов на основе бумаги, фольги, полимеров, картона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Мягкая упаковка-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не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чувствительная к воздействию динамических нагрузок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изготовленная из легко сгибаемых упаковочных материалов на основе бумаги, фольги, полимеров, картона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Хрупкая упаковка-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чувствительная к воздействию динамических нагрузок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изготовленная из легко сгибаемых упаковочных материалов на основе бумаги, фольги, полимеров, картона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не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139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Гибкая упаковка-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изготовленная из легко сгибаемых упаковочных материалов на основе бумаги, фольги, полимеров, картона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не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форма и размеры которой изменяются при наполнении или удалении содержимого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упаковка, чувствительная к воздействию динамических нагрузок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Основные вид элемента упаковки: пробка-это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вставляемое внутрь горловины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закрепляемое по всему наружному периметру верха или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крышка, навинчиваемая на горловину тубы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состоящее их двух частей – верхней крышки и внутренней пробки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Основные вид элемента упаковки: крышка-это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закрепляемое по всему наружному периметру верха или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вставляемое внутрь горловины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крышка, навинчиваемая на горловину тубы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состоящее их двух частей – верхней крышки и внутренней пробки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Основные вид элемента упаковки: бушон-это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крышка, навинчиваемая на горловину тубы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состоящее их двух частей – верхней крышки и внутренней пробки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закрепляемое по всему наружному периметру верха или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вставляемое внутрь горловины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Основные вид элемента упаковки: колпачок-это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надеваемое или навинчиваемое на венчик горловины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закрепляемое по всему наружному периметру верха или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вставляемое внутрь горловины тары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крышка, навинчиваемая на горловину тубы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Насадка-дозатор –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часть которого вдавливается внутрь горловины упаковки (тары) и при надавливании на эластичный корпус этой упаковки (тары) обеспечивает принудительное истечение жидкого лекарственного средства дозами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функциональное устройство упаковки, предназначенное для отмеривания жидкого лекарственного средства по объему и препятствующее или затрудняющее повторное заполнение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затвор для аэрозольной упаковки, сохраняющий давление внутри упаковки и позволяющий при нажатии проводить распыление упакованной продукции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сложный элемент упаковки, обеспечивающий дозирование и доставку лекарственного препарата к месту его введения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Дозатор-ограничитель 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функциональное устройство упаковки, предназначенное для отмеривания жидкого лекарственного средства по объему и препятствующее или затрудняющее повторное заполнение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затвор для аэрозольной упаковки, сохраняющий давление внутри упаковки и позволяющий при нажатии проводить распыление упакованной продукции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часть которого вдавливается внутрь горловины упаковки (тары) и при надавливании на эластичный корпус этой упаковки (тары) обеспечивает принудительное истечение жидкого лекарственного средства дозами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сложный элемент упаковки, обеспечивающий дозирование и доставку лекарственного препарата к месту его введения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Аэрозольный клапан 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затвор для аэрозольной упаковки, сохраняющий давление внутри упаковки и позволяющий при нажатии проводить распыление упакованной продукции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часть которого вдавливается внутрь горловины упаковки (тары) и при надавливании на эластичный корпус этой упаковки (тары) обеспечивает принудительное истечение жидкого лекарственного средства дозами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функциональное устройство упаковки, предназначенное для отмеривания жидкого лекарственного средства по объему и препятствующее или затрудняющее повторное заполнение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сложный элемент упаковки, обеспечивающий дозирование и доставку лекарственного препарата к месту его введения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Дозирующий клапан для аэрозолей-это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сложный элемент упаковки, обеспечивающий дозирование и доставку лекарственного препарата к месту его введения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затвор для аэрозольной упаковки, сохраняющий давление внутри упаковки и позволяющий при нажатии проводить распыление упакованной продукции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укупорочное средство, часть которого вдавливается внутрь горловины упаковки (тары) и при надавливании на эластичный корпус этой упаковки (тары) обеспечивает принудительное истечение жидкого лекарственного средства дозами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функциональное устройство упаковки, предназначенное для отмеривания жидкого лекарственного средства по объему и препятствующее или затрудняющее повторное заполнение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Для парентеральных лекарственных препаратов  обычно используют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бесцветное стекло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стекло марок ОС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марки СНС-1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марки  ОС-1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149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Для производства шприцев  используется  стекло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марки ХТ и ХТ-1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марки АБ-1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марок НС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марки СНС-1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Лекарственные средства, содержащие летучие, выветривающиеся, гигроскопические или окисляющиеся вещества, должны быть упакованы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 банки или флаконы, укупоренные навинчивающимися крышками в комплекте с пробками или прокладками с уплотнительными элементами; пробками с уплотнительными элементами; закатываемыми металлическими колпачками в комплекте с пробками или прокладками с уплотнительными элементами, закатываемыми металлическими крышками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должны быть упакованы в светонепроницаемую тару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банки, бутыли из медицинского бесцветного и светозащитного стекла или банки и канистры из полимерных материалов, пакеты и мешки из полимерных, комбинированных материалов или бумаги, бидоны металлические, баллоны газовые и т.п.</w:t>
            </w:r>
          </w:p>
        </w:tc>
      </w:tr>
      <w:tr w:rsidR="00A20D57">
        <w:trPr>
          <w:trHeight w:val="444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контурные упаковки необходимых размеров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Приемочный контроль  лекарственных препаратов после 29 ноября 2019 года может быть осуществлен без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наличия реестра деклараций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соответствия маркировки лекарственных препаратов требованиям, установленным законодательством об обращении лекарственных средств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правильности оформления сопроводительных документов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оценки целостности упаковки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торговой зоне в удобном для обозрения месте обязательно размещается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копия лицензии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устав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организационная структура аптеки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журнал  предметно -  количественного учета ЛС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Должен ли  фиксироваться факт выдачи рецепта на лекарственный препарат законному представителю или уполномоченному лицу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да, должен  фиксироваться в медицинской документации пациента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нет, не должен фиксироваться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да, должен в специальном журнале учета доверенностей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нет, не  должен. Копия доверенности отдается участковому врачу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Медицинским работникам разрешается оформлять рецепты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при наличии у пациента медицинских показаний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наркотические средства и психотропные вещества, внесенные в </w:t>
            </w:r>
            <w:hyperlink r:id="rId28">
              <w:r>
                <w:rPr>
                  <w:rStyle w:val="-"/>
                  <w:color w:val="000000"/>
                  <w:szCs w:val="24"/>
                  <w:u w:val="none"/>
                </w:rPr>
                <w:t>список II</w:t>
              </w:r>
            </w:hyperlink>
            <w:r>
              <w:rPr>
                <w:color w:val="000000"/>
                <w:szCs w:val="24"/>
              </w:rPr>
              <w:t xml:space="preserve"> Перечня, зарегистрированные в качестве лекарственных препаратов, в целях применения для лечения наркомании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 незарегистрированные лекарственные препараты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Рецептурный бланк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 оформляется при назначении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29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 в виде трансдермальных терапевтических систем, наркотических лекарственных препаратов </w:t>
            </w:r>
            <w:hyperlink r:id="rId30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      </w:r>
            <w:hyperlink r:id="rId31">
              <w:r>
                <w:rPr>
                  <w:rStyle w:val="-"/>
                  <w:color w:val="000000"/>
                  <w:szCs w:val="24"/>
                </w:rPr>
                <w:t>списка III</w:t>
              </w:r>
            </w:hyperlink>
            <w:r>
              <w:rPr>
                <w:color w:val="000000"/>
                <w:szCs w:val="24"/>
              </w:rPr>
              <w:t xml:space="preserve"> Перечня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32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33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34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Рецептурный бланк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 оформляется при назначении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35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36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37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Рецептурный бланк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 оформляется при назначении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лекарственных препаратов,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38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39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40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Рецептурный бланк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 оформляется при назначении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лекарственных препаратов индивидуального изготовления, содержащих наркотическое средство или психотропное вещество </w:t>
            </w:r>
            <w:hyperlink r:id="rId41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      </w:r>
            <w:hyperlink r:id="rId42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43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44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45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159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Рецептурный бланк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 оформляется при назначении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лекарственных препаратов, подлежащих предметно-количественному учету, не перечисленных в </w:t>
            </w:r>
            <w:hyperlink w:anchor="P63">
              <w:r>
                <w:rPr>
                  <w:rStyle w:val="-"/>
                  <w:color w:val="000000"/>
                  <w:szCs w:val="24"/>
                </w:rPr>
                <w:t>подпунктах 1</w:t>
              </w:r>
            </w:hyperlink>
            <w:r>
              <w:rPr>
                <w:color w:val="000000"/>
                <w:szCs w:val="24"/>
              </w:rPr>
              <w:t xml:space="preserve"> - </w:t>
            </w:r>
            <w:hyperlink w:anchor="P72">
              <w:r>
                <w:rPr>
                  <w:rStyle w:val="-"/>
                  <w:color w:val="000000"/>
                  <w:szCs w:val="24"/>
                </w:rPr>
                <w:t>4</w:t>
              </w:r>
            </w:hyperlink>
            <w:r>
              <w:rPr>
                <w:color w:val="000000"/>
                <w:szCs w:val="24"/>
              </w:rPr>
              <w:t xml:space="preserve"> п  пункта 10 Приложения N 1 к приказу Министерства здравоохранения Российской Федерации от 14 января 2019 г. N 4н (за исключением лекарственных препаратов, отпускаемых без рецепта)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46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47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48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Рецептурный бланк </w:t>
            </w:r>
            <w:hyperlink w:anchor="P782">
              <w:r>
                <w:rPr>
                  <w:rStyle w:val="-"/>
                  <w:color w:val="000000"/>
                  <w:szCs w:val="24"/>
                </w:rPr>
                <w:t>формы N 148-1/у-04 (л)</w:t>
              </w:r>
            </w:hyperlink>
            <w:r>
              <w:rPr>
                <w:color w:val="000000"/>
                <w:szCs w:val="24"/>
              </w:rPr>
              <w:t xml:space="preserve"> оформляется при назначении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49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50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51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Рецептурный бланк </w:t>
            </w:r>
            <w:hyperlink w:anchor="P648">
              <w:r>
                <w:rPr>
                  <w:rStyle w:val="-"/>
                  <w:color w:val="000000"/>
                  <w:szCs w:val="24"/>
                </w:rPr>
                <w:t>формы N 107-1/у</w:t>
              </w:r>
            </w:hyperlink>
            <w:r>
              <w:rPr>
                <w:color w:val="000000"/>
                <w:szCs w:val="24"/>
              </w:rPr>
              <w:t xml:space="preserve"> оформляется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52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53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наркотических и психотропных лекарственных препаратов </w:t>
            </w:r>
            <w:hyperlink r:id="rId54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Рецепты на бумажном носителе, в форме электронного документа, оформленные на рецептурном бланке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 и предназначенные для отпуска лекарственных препаратов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15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30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пределах до одного календарного года.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60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Рецепты на бумажном носителе, в форме электронного документа, оформленные на рецептурном бланке </w:t>
            </w:r>
            <w:hyperlink w:anchor="P782">
              <w:r>
                <w:rPr>
                  <w:rStyle w:val="-"/>
                  <w:color w:val="000000"/>
                  <w:szCs w:val="24"/>
                </w:rPr>
                <w:t>формы N 148-1/у-04 (л)</w:t>
              </w:r>
            </w:hyperlink>
            <w:r>
              <w:rPr>
                <w:color w:val="000000"/>
                <w:szCs w:val="24"/>
              </w:rPr>
              <w:t xml:space="preserve"> и предназначенные для отпуска лекарственных препаратов гражданам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30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60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пределах до одного календарного года.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течение 15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Рецепты на бумажном носителе, в форме электронного документа, оформленные при назначение наркотических и психотропных лекарственных препаратов </w:t>
            </w:r>
            <w:hyperlink r:id="rId55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 на рецептурном бланке </w:t>
            </w:r>
            <w:hyperlink r:id="rId56">
              <w:r>
                <w:rPr>
                  <w:rStyle w:val="-"/>
                  <w:color w:val="000000"/>
                  <w:szCs w:val="24"/>
                </w:rPr>
                <w:t>формы N 107/у-НП</w:t>
              </w:r>
            </w:hyperlink>
            <w:r>
              <w:rPr>
                <w:color w:val="000000"/>
                <w:szCs w:val="24"/>
              </w:rPr>
              <w:t xml:space="preserve">, к которому дополнительно оформляется рецепт на рецептурном бланке </w:t>
            </w:r>
            <w:hyperlink w:anchor="P782">
              <w:r>
                <w:rPr>
                  <w:rStyle w:val="-"/>
                  <w:color w:val="000000"/>
                  <w:szCs w:val="24"/>
                </w:rPr>
                <w:t>формы N 148-1/у-04 (л)</w:t>
              </w:r>
            </w:hyperlink>
            <w:r>
              <w:rPr>
                <w:color w:val="000000"/>
                <w:szCs w:val="24"/>
              </w:rPr>
              <w:t xml:space="preserve"> (в двух экземплярах при оформлении на бумажном носителе). действительны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течение 15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пределах до одного календарного года.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30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60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Рецепты на бумажном носителе, в форме электронного документа, оформленные на рецептурном бланке </w:t>
            </w:r>
            <w:hyperlink w:anchor="P782">
              <w:r>
                <w:rPr>
                  <w:rStyle w:val="-"/>
                  <w:color w:val="000000"/>
                  <w:szCs w:val="24"/>
                </w:rPr>
                <w:t>формы N 148-1/у-04 (л)</w:t>
              </w:r>
            </w:hyperlink>
            <w:r>
              <w:rPr>
                <w:color w:val="000000"/>
                <w:szCs w:val="24"/>
              </w:rPr>
      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90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пределах до одного календарного года.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30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60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Рецепты на бумажном носителе, в форме электронного документа, оформленные на рецептурном бланке </w:t>
            </w:r>
            <w:hyperlink w:anchor="P648">
              <w:r>
                <w:rPr>
                  <w:rStyle w:val="-"/>
                  <w:color w:val="000000"/>
                  <w:szCs w:val="24"/>
                </w:rPr>
                <w:t>формы N 107-1/у</w:t>
              </w:r>
            </w:hyperlink>
            <w:r>
              <w:rPr>
                <w:color w:val="000000"/>
                <w:szCs w:val="24"/>
              </w:rPr>
              <w:t xml:space="preserve"> и предназначенные для отпуска лекарственных препаратов, предусмотренных </w:t>
            </w:r>
            <w:hyperlink w:anchor="P75">
              <w:r>
                <w:rPr>
                  <w:rStyle w:val="-"/>
                  <w:color w:val="000000"/>
                  <w:szCs w:val="24"/>
                </w:rPr>
                <w:t>пунктом 12</w:t>
              </w:r>
            </w:hyperlink>
            <w:r>
              <w:rPr>
                <w:color w:val="000000"/>
                <w:szCs w:val="24"/>
              </w:rPr>
              <w:t xml:space="preserve"> настоящего Порядка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60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пределах до одного календарного года.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30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течение 15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      </w:r>
            <w:hyperlink w:anchor="P648">
              <w:r>
                <w:rPr>
                  <w:rStyle w:val="-"/>
                  <w:color w:val="000000"/>
                  <w:szCs w:val="24"/>
                </w:rPr>
                <w:t>формы N 107-1/у</w:t>
              </w:r>
            </w:hyperlink>
            <w:r>
              <w:rPr>
                <w:color w:val="000000"/>
                <w:szCs w:val="24"/>
              </w:rPr>
              <w:t xml:space="preserve"> рецепта на бумажном носителе или в форме электронного документа устанавливается срок действия рецепта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пределах до одного календарного года.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30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60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90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Рецепты  на рецептурном бланке </w:t>
            </w:r>
            <w:hyperlink r:id="rId57">
              <w:r>
                <w:rPr>
                  <w:rStyle w:val="-"/>
                  <w:color w:val="000000"/>
                  <w:szCs w:val="24"/>
                </w:rPr>
                <w:t>формы N 107/у-НП</w:t>
              </w:r>
            </w:hyperlink>
            <w:r>
              <w:rPr>
                <w:color w:val="000000"/>
                <w:szCs w:val="24"/>
              </w:rPr>
              <w:t xml:space="preserve">   оформляются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при назначении наркотических и психотропных лекарственных препаратов </w:t>
            </w:r>
            <w:hyperlink r:id="rId58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лекарственных препаратов индивидуального изготовления, содержащих наркотическое средство или психотропное вещество </w:t>
            </w:r>
            <w:hyperlink r:id="rId59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      </w:r>
            <w:hyperlink r:id="rId60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лекарственные препараты, в том числе наркотические и психотропные лекарственные препараты, внесенные в </w:t>
            </w:r>
            <w:hyperlink r:id="rId61">
              <w:r>
                <w:rPr>
                  <w:rStyle w:val="-"/>
                  <w:color w:val="000000"/>
                  <w:szCs w:val="24"/>
                </w:rPr>
                <w:t>списки II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r:id="rId62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169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Рецепты на бумажном носителе, в форме электронного документа, оформленные при назначении наркотических и психотропных лекарственных препаратов </w:t>
            </w:r>
            <w:hyperlink r:id="rId63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 в виде трансдермальных терапевтических систем, наркотических лекарственных препаратов </w:t>
            </w:r>
            <w:hyperlink r:id="rId64">
              <w:r>
                <w:rPr>
                  <w:rStyle w:val="-"/>
                  <w:color w:val="000000"/>
                  <w:szCs w:val="24"/>
                </w:rPr>
                <w:t>списка II</w:t>
              </w:r>
            </w:hyperlink>
            <w:r>
              <w:rPr>
                <w:color w:val="000000"/>
                <w:szCs w:val="24"/>
              </w:rPr>
      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      </w:r>
            <w:hyperlink r:id="rId65">
              <w:r>
                <w:rPr>
                  <w:rStyle w:val="-"/>
                  <w:color w:val="000000"/>
                  <w:szCs w:val="24"/>
                </w:rPr>
                <w:t>списка III</w:t>
              </w:r>
            </w:hyperlink>
            <w:r>
              <w:rPr>
                <w:color w:val="000000"/>
                <w:szCs w:val="24"/>
              </w:rPr>
              <w:t xml:space="preserve">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</w:t>
            </w:r>
            <w:hyperlink w:anchor="P68">
              <w:r>
                <w:rPr>
                  <w:rStyle w:val="-"/>
                  <w:color w:val="000000"/>
                  <w:szCs w:val="24"/>
                </w:rPr>
                <w:t>подпункте 3 пункта 10</w:t>
              </w:r>
            </w:hyperlink>
            <w:r>
              <w:rPr>
                <w:color w:val="000000"/>
                <w:szCs w:val="24"/>
              </w:rPr>
      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, к которому дополнительно оформляется рецепт на рецептурном бланке </w:t>
            </w:r>
            <w:hyperlink w:anchor="P782">
              <w:r>
                <w:rPr>
                  <w:rStyle w:val="-"/>
                  <w:color w:val="000000"/>
                  <w:szCs w:val="24"/>
                </w:rPr>
                <w:t>формы N 148-1/у-04 (л)</w:t>
              </w:r>
            </w:hyperlink>
            <w:r>
              <w:rPr>
                <w:color w:val="000000"/>
                <w:szCs w:val="24"/>
              </w:rPr>
              <w:t xml:space="preserve"> (в двух экземплярах при оформлении на бумажном носителе) действительны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течение 15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30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60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действительны в течение 90 дней со дня 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случае установления срока действия рецепта в пределах до одного года в рецепте проставляется отметка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"По специальному назначению"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"Важно"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"Для специального пользования"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"Срок действия год"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  сроком действия 60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  сроком действия 30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  сроком действия 15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со  сроком действия  90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При оформлении рецепта на бланке </w:t>
            </w:r>
            <w:hyperlink w:anchor="P782">
              <w:r>
                <w:rPr>
                  <w:rStyle w:val="-"/>
                  <w:color w:val="000000"/>
                  <w:szCs w:val="24"/>
                </w:rPr>
                <w:t>формы N 148-1/у-04 (л)</w:t>
              </w:r>
            </w:hyperlink>
            <w:r>
              <w:rPr>
                <w:color w:val="000000"/>
                <w:szCs w:val="24"/>
              </w:rPr>
              <w:t xml:space="preserve"> на бумажном носителе оформляются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два экземпляра, один из которых остается в аптечной организации, второй - в медицинской документации пациента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три экземпляра, один из которых остается в аптечной организации, второй - в медицинской документации пациента, третий у лица, ответственного за оформление рецептурной документации  медицинской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один экземпляр,. только  для аптечной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два экземпляра, один из которых остается в аптечной организации, второй  у лица, ответственного за оформление рецептурной документации  медицинской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Фентанил  -50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Фентанил  -40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Фентанил  -30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Фентанил  -60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Буторфанол Раствор для инъекций 2 мг/мл 1 мл 20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Буторфанол Раствор для инъекций 2 мг/мл 1 мл 30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Буторфанол Раствор для инъекций 2 мг/мл 1 мл  40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Буторфанол Раствор для инъекций 2 мг/мл 1 мл 60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Налбуфин  Раствор для инъекций 10 мг/мл 1 мл 50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Налбуфин  Раствор для инъекций 10 мг/мл 1 мл 25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Налбуфин  Раствор для инъекций 10 мг/мл 1 мл 30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Налбуфин  Раствор для инъекций 10 мг/мл 1 мл 20 ампул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Таблетки 5 мг 100 таблеток</w:t>
            </w:r>
          </w:p>
        </w:tc>
      </w:tr>
      <w:tr w:rsidR="00A20D57">
        <w:trPr>
          <w:trHeight w:val="380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Таблетки 5 мг 50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Таблетки 5 мг 30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Таблетки 5 мг 60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Тримеперидин Таблетки 25 мг 50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Тримеперидин Таблетки 25 мг 100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Тримеперидин Таблетки 25 мг 60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Тримеперидин Таблетки 25 мг 30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Оксикодон + Налоксон Таблетки  пролонгированного действия 5 мг + 2,5 мг 100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Оксикодон + Налоксон Таблетки  пролонгированного действия 5 мг + 2,5 мг 60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Оксикодон + Налоксон Таблетки  пролонгированного действия 5 мг + 2,5 мг 40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Оксикодон + Налоксон Таблетки  пролонгированного действия 5 мг + 2,5 мг 20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179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Капли для приема внутрь  20 мг/мл 20 мл 4 флакона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Капли для приема внутрь  20 мг/мл 20 мл 2 флакона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Капли для приема внутрь  20 мг/мл 20 мл 1 флакон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Морфин Капли для приема внутрь  20 мг/мл 20 мл  3  флакона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наркотических средств или психотропных веществ. которое может быть выписано в одном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Пропионилфенилэтоксиэтилпиперидин Таблетки защечные 20 мг 50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Пропионилфенилэтоксиэтилпиперидин Таблетки защечные 20 мг 30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Пропионилфенилэтоксиэтилпиперидин Таблетки защечные 20 мг 20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Пропионилфенилэтоксиэтилпиперидин Таблетки защечные 20 мг 60 таблеток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ac., acid.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кислота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по, поровну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аэрозоль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aer.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rFonts w:cs="Calibri"/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аэрозоль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по, поровну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ампула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D.S.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выдай, обозначь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разведенный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раздели на равные части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эмульсия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gran.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гранулы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капля, капли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экстракт, вытяжка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настой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gtt. peror.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капли для приема внутрь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гранулы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экстракт, вытяжка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настой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M. 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Смешай (Пусть будет смешано)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Пусть образуется (образуются)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Возьми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Повтори (Пусть будет повторено)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sol. peror.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раствор для приема внутрь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капли для приема внутрь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гранулы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настой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spr. nas.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спрей назальный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свеча, суппозиторий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суспензия, взвесь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сироп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t-ra, tinct.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настойка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раствор для приема внутрь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капли для приема внутрь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гранулы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189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ung.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мазь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таблетка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свеча, суппозиторий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гранулы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Сокращение STT сделанное при оформлении рецепта 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Трансдермальная Терапевтическая Система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Пусть образуется (образуются)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Возьми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Повтори (Пусть будет повторено)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На рецептурных бланках </w:t>
            </w:r>
            <w:hyperlink w:anchor="P648">
              <w:r>
                <w:rPr>
                  <w:rStyle w:val="-"/>
                  <w:color w:val="000000"/>
                  <w:szCs w:val="24"/>
                </w:rPr>
                <w:t>форм N 107-1/у</w:t>
              </w:r>
            </w:hyperlink>
            <w:r>
              <w:rPr>
                <w:color w:val="000000"/>
                <w:szCs w:val="24"/>
              </w:rPr>
              <w:t xml:space="preserve">,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N 148-1/у-88</w:t>
              </w:r>
            </w:hyperlink>
            <w:r>
              <w:rPr>
                <w:color w:val="000000"/>
                <w:szCs w:val="24"/>
              </w:rPr>
              <w:t xml:space="preserve">  в левом верхнем углу проставляется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штамп медицинской организации с указанием ее наименования, адреса и телефона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код медицинской организации в соответствии с Основным государственным регистрационным номером (далее - ОГРН)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штрих код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код нозологической формы по Международной статистической </w:t>
            </w:r>
            <w:hyperlink r:id="rId66">
              <w:r>
                <w:rPr>
                  <w:rStyle w:val="-"/>
                  <w:color w:val="000000"/>
                  <w:szCs w:val="24"/>
                </w:rPr>
                <w:t>классификации</w:t>
              </w:r>
            </w:hyperlink>
            <w:r>
              <w:rPr>
                <w:color w:val="000000"/>
                <w:szCs w:val="24"/>
              </w:rPr>
              <w:t xml:space="preserve"> болезней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За исключением какого реквизита  допускается оформление рецептурных бланков </w:t>
            </w:r>
            <w:hyperlink w:anchor="P648">
              <w:r>
                <w:rPr>
                  <w:rStyle w:val="-"/>
                  <w:color w:val="000000"/>
                  <w:szCs w:val="24"/>
                </w:rPr>
                <w:t>формы N 107-1/у</w:t>
              </w:r>
            </w:hyperlink>
            <w:r>
              <w:rPr>
                <w:color w:val="000000"/>
                <w:szCs w:val="24"/>
              </w:rPr>
              <w:t xml:space="preserve">, </w:t>
            </w:r>
            <w:hyperlink w:anchor="P715">
              <w:r>
                <w:rPr>
                  <w:rStyle w:val="-"/>
                  <w:color w:val="000000"/>
                  <w:szCs w:val="24"/>
                </w:rPr>
                <w:t>формы N 148-1/у-88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w:anchor="P782">
              <w:r>
                <w:rPr>
                  <w:rStyle w:val="-"/>
                  <w:color w:val="000000"/>
                  <w:szCs w:val="24"/>
                  <w:u w:val="none"/>
                </w:rPr>
                <w:t>формы N 148-1/у-04(л)</w:t>
              </w:r>
            </w:hyperlink>
            <w:r>
              <w:rPr>
                <w:color w:val="000000"/>
                <w:szCs w:val="24"/>
              </w:rPr>
              <w:t xml:space="preserve">  с использованием печатающих устройств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"Подпись лечащего врача (подпись фельдшера, акушерки"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"Фамилия Имя Отчество" пациента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Наименование препарата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кода категории граждан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[1] и проценте оплаты рецепта [1]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федеральный бюджет бесплатно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бюджет субъекта Российской Федерации бесплатно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муниципальный бюджет  бесплатно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[2]  и проценте оплаты рецепта [1]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бюджет субъекта Российской Федерации  бесплатно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бюджет  бесплатно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бесплатно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[3]  и проценте оплаты рецепта [1]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 бесплатно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бюджет субъекта Российской Федерации  бесплатно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бюджет  бесплатно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[1] и проценте оплаты рецепта [2]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федеральный бюджет 50%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бюджет субъекта Российской Федерации бесплатно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50%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[2]  и проценте оплаты рецепта [2]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бюджет субъекта Российской Федерации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бюджет 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[3]  и проценте оплаты рецепта [2]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бюджет субъекта Российской Федерации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бюджет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199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[1] и проценте оплаты рецепта [3]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бюджет иной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бюджет субъекта Российской Федерации бесплатно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50%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[2]  и проценте оплаты рецепта [3]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бюджет субъекта Российской Федерации  иной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бюджет 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Отметка в рецептурных бланке об источнике финансирования [3]  и проценте оплаты рецепта [3]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   иной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иное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бюджет субъекта Российской Федерации  50 %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бюджет  бесплатно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В графе "Rp" рецептурных бланков </w:t>
            </w:r>
            <w:hyperlink w:anchor="P715">
              <w:r>
                <w:rPr>
                  <w:rStyle w:val="-"/>
                  <w:color w:val="000000"/>
                  <w:szCs w:val="24"/>
                  <w:u w:val="none"/>
                </w:rPr>
                <w:t>форм N 148-1/у-88</w:t>
              </w:r>
            </w:hyperlink>
            <w:r>
              <w:rPr>
                <w:color w:val="000000"/>
                <w:szCs w:val="24"/>
              </w:rPr>
              <w:t xml:space="preserve">, </w:t>
            </w:r>
            <w:hyperlink w:anchor="P648">
              <w:r>
                <w:rPr>
                  <w:rStyle w:val="-"/>
                  <w:color w:val="000000"/>
                  <w:szCs w:val="24"/>
                  <w:u w:val="none"/>
                </w:rPr>
                <w:t>N 107-1/у</w:t>
              </w:r>
            </w:hyperlink>
            <w:r>
              <w:rPr>
                <w:color w:val="000000"/>
                <w:szCs w:val="24"/>
              </w:rPr>
              <w:t xml:space="preserve"> и </w:t>
            </w:r>
            <w:hyperlink w:anchor="P782">
              <w:r>
                <w:rPr>
                  <w:rStyle w:val="-"/>
                  <w:color w:val="000000"/>
                  <w:szCs w:val="24"/>
                  <w:u w:val="none"/>
                </w:rPr>
                <w:t>N 148-1/у-04(л)</w:t>
              </w:r>
            </w:hyperlink>
            <w:r>
              <w:rPr>
                <w:color w:val="000000"/>
                <w:szCs w:val="24"/>
              </w:rPr>
              <w:t xml:space="preserve"> указывается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форма выпуска, дозировка, количество и  способ применения лекарственного препарата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Фамилия, инициалы имени и отчества (последнее - при наличии) лечащего врача (фельдшера, акушерки)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СНИЛС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Сколько  наименований лекарственного препарата, относящихся  по АТХ к антипсихотическим средствам (код N05A), анксиолитикам (код N05B), снотворным и седативным средствам (код N05C), антидепрессантам (код N06A) и не подлежащих предметно-количественному учету  разрешается  назначать на одном рецептурном бланке </w:t>
            </w:r>
            <w:hyperlink w:anchor="P648">
              <w:r>
                <w:rPr>
                  <w:rStyle w:val="-"/>
                  <w:color w:val="000000"/>
                  <w:szCs w:val="24"/>
                  <w:lang w:val="ru-RU"/>
                </w:rPr>
                <w:t>формы N 107-1/у</w:t>
              </w:r>
            </w:hyperlink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только одно наименование лекарственного препарата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более трех  наименований лекарственных препаратов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более двух наименований лекарственных препаратов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более пяти  наименований лекарственных препаратов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Сколько  наименований лекарственного препарата, не отнесенных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 разрешается  назначать на одном рецептурном бланке </w:t>
            </w:r>
            <w:hyperlink w:anchor="P648">
              <w:r>
                <w:rPr>
                  <w:rStyle w:val="-"/>
                  <w:color w:val="000000"/>
                  <w:szCs w:val="24"/>
                </w:rPr>
                <w:t>формы N 107-1/у</w:t>
              </w:r>
            </w:hyperlink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более трех  наименований лекарственных препаратов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только одно наименование лекарственного препарата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более двух наименований лекарственных препаратов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не более пяти  наименований лекарственных препаратов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На рецептурном бланке </w:t>
            </w:r>
            <w:hyperlink w:anchor="P782">
              <w:r>
                <w:rPr>
                  <w:rStyle w:val="-"/>
                  <w:color w:val="000000"/>
                  <w:szCs w:val="24"/>
                  <w:lang w:val="ru-RU"/>
                </w:rPr>
                <w:t xml:space="preserve">формы </w:t>
              </w:r>
              <w:r>
                <w:rPr>
                  <w:rStyle w:val="-"/>
                  <w:color w:val="000000"/>
                  <w:szCs w:val="24"/>
                </w:rPr>
                <w:t>N</w:t>
              </w:r>
              <w:r>
                <w:rPr>
                  <w:rStyle w:val="-"/>
                  <w:color w:val="000000"/>
                  <w:szCs w:val="24"/>
                  <w:lang w:val="ru-RU"/>
                </w:rPr>
                <w:t xml:space="preserve"> 148-1/у-04(л)</w:t>
              </w:r>
            </w:hyperlink>
            <w:r>
              <w:rPr>
                <w:color w:val="000000"/>
                <w:szCs w:val="24"/>
                <w:lang w:val="ru-RU"/>
              </w:rPr>
              <w:t xml:space="preserve"> внизу имеется линия отрыва, разделяющая рецептурный бланк и корешок.Корешок от рецепта, оформленного на указанном рецептурном бланке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остается в аптечной организации для контроля и учета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вкладывается в медицинскую карту пациента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передается в медицинскую организацию, в качестве подтверждения о получении препарата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Какую графу  не содержит  журнал учета рецептурных бланков </w:t>
            </w:r>
            <w:hyperlink w:anchor="P648">
              <w:r>
                <w:rPr>
                  <w:rStyle w:val="-"/>
                  <w:color w:val="000000"/>
                  <w:szCs w:val="24"/>
                  <w:u w:val="none"/>
                </w:rPr>
                <w:t>формы N 107-1/у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Фамилию ,. имя и отчество лица, которому выписан рецепт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Приход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Расход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Остаток  рецептурных бланков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Рецептурные бланки, подлежащие учету, хранятся ответственным лицом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запираемом металлическом шкафу (сейфе) или металлическом ящике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запираемом шкафу,. ключ от которого находится у ответственного лица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в ящике стола, ответственного лица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отдельном помещении, закрываемом на ключ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Проверка состояния хранения, учета, фактического наличия и расхода рецептурных бланков, подлежащих учету производится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один раз в квартал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один раз в месяц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один раз в год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один раз в неделю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209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Проверка состояния хранения, учета, фактического наличия и расхода рецептурных бланков, подлежащих учету производится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осуществляется комиссией, созданной в медицинской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осуществляется главным врачом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осуществляется заместителем главного врача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осуществляется старшей сестрой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C81992">
            <w:hyperlink r:id="rId67" w:anchor="dst100014" w:history="1">
              <w:r w:rsidR="00FB5B4E">
                <w:rPr>
                  <w:rStyle w:val="-"/>
                  <w:color w:val="000000"/>
                  <w:szCs w:val="24"/>
                  <w:u w:val="none"/>
                  <w:lang w:val="ru-RU"/>
                </w:rPr>
                <w:t>Перечень</w:t>
              </w:r>
            </w:hyperlink>
            <w:r w:rsidR="00FB5B4E">
              <w:rPr>
                <w:color w:val="000000"/>
                <w:szCs w:val="24"/>
                <w:lang w:val="ru-RU"/>
              </w:rPr>
              <w:t xml:space="preserve"> лекарственных средств для медицинского применения, подлежащих предметно-количественному учету, утверждается </w:t>
            </w:r>
          </w:p>
        </w:tc>
      </w:tr>
      <w:tr w:rsidR="00A20D57">
        <w:trPr>
          <w:trHeight w:val="324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уполномоченным федеральным органом исполнительной власти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уполномоченным органом исполнительной власти субъекта Федерации</w:t>
            </w:r>
          </w:p>
        </w:tc>
      </w:tr>
      <w:tr w:rsidR="00A20D57">
        <w:trPr>
          <w:trHeight w:val="334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главным  врачом медицинской организации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постановлением Правительства РФ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Предметно-количественный учет лекарственных средств для медицинского применения не ведут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пациенты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производители лекарственных средств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организации оптовой торговли лекарственными средствами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аптечные организации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Каким нормативным документом в настоящее время утвержден перечень лекарственных средств для медицинского применения, подлежащих предметно-количественному учету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Приказом Минздрава РФ </w:t>
            </w:r>
            <w:hyperlink r:id="rId68" w:anchor="l0" w:history="1">
              <w:r>
                <w:rPr>
                  <w:rStyle w:val="-"/>
                  <w:color w:val="000000"/>
                  <w:szCs w:val="24"/>
                  <w:lang w:val="ru-RU"/>
                </w:rPr>
                <w:t xml:space="preserve">от </w:t>
              </w:r>
            </w:hyperlink>
            <w:r>
              <w:rPr>
                <w:color w:val="000000"/>
                <w:szCs w:val="24"/>
                <w:u w:val="single"/>
                <w:lang w:val="ru-RU"/>
              </w:rPr>
              <w:t>22.04.2014  № 183 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Приказом Минздрава РФ </w:t>
            </w:r>
            <w:hyperlink r:id="rId69" w:anchor="l0" w:history="1">
              <w:r>
                <w:rPr>
                  <w:rStyle w:val="-"/>
                  <w:color w:val="000000"/>
                  <w:szCs w:val="24"/>
                  <w:lang w:val="ru-RU"/>
                </w:rPr>
                <w:t>от 10.09.2015 N 634н</w:t>
              </w:r>
            </w:hyperlink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u w:val="single"/>
                <w:lang w:val="ru-RU"/>
              </w:rPr>
              <w:t xml:space="preserve">Приказом Минздрава РФ 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hyperlink r:id="rId70" w:anchor="l0" w:history="1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от 31.10.2017 N 882н</w:t>
              </w:r>
            </w:hyperlink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u w:val="single"/>
                <w:lang w:val="ru-RU"/>
              </w:rPr>
              <w:t xml:space="preserve">Приказом Минздрава РФ </w:t>
            </w:r>
            <w:hyperlink r:id="rId71" w:anchor="l0" w:history="1">
              <w:r>
                <w:rPr>
                  <w:rStyle w:val="-"/>
                  <w:color w:val="000000"/>
                  <w:szCs w:val="24"/>
                  <w:lang w:val="ru-RU"/>
                </w:rPr>
                <w:t>от 27.07.2018 N 471н</w:t>
              </w:r>
            </w:hyperlink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 какому списку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относиться Альфентанил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III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IV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 какому списку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относиться Эрготамин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IV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III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 какому списку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относиться Альфаметадол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III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список IV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Сколько уровне имеет каждая группа анатомо-терапевтическо-химической классификации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5 уровней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3 уровня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7 уровней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3 уроовня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 xml:space="preserve">217 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Первый уровень АТС подразделяет лекарственные средства по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анатомическому органу или системе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основному терапевтическому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химической структуре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терапевтическому/фармакологическому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Пятый уровень АТС подразделяет лекарственные средства по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химической структуре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основному терапевтическому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анатомическому органу или системе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терапевтическому/фармакологическому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219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Нозологическая классификация предусматривает группировку по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заболеваниям или показаниям к применению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фармакологическому действию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терапевтическом эффекте ЛС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по нескольким признакам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Код ЛС, согласно АТС-классификации, содержит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7 знаков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3 знака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5 знаков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2 знака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 xml:space="preserve">Первый знак кода ЛС, согласно АТС-классификации, (латинская буква)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область заболеваний, при которых применяются, препараты конкретной субстанции, исходя из анатомической системы классификации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наименование основной терапевтической группы и ее подгруппы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наименование терапевтическо-химической 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регистрационный номер субстанции.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 xml:space="preserve">2 и 3 знаки кода ЛС, согласно АТС-классификации, (арабские цифры) и связанный с ними следующий знак (латинская буква) означает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наименование основной терапевтической группы и ее подгруппы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область заболеваний, при которых применяются, препараты конкретной субстанции, исходя из анатомической системы классификации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относится к наименованию терапевтическо-химической 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регистрационный номер субстанции.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Четвертый знак кода ЛС, согласно АТС-классификации, (латинская буква) относится 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наименованию терапевтическо-химической 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наименованию основной терапевтической группы и ее подгруппы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области заболеваний, при которых применяются, препараты конкретной субстанции, исходя из анатомической системы классификации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регистрационному номеру субстанции.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Последние 2 знака (арабские цифры) кода ЛС, согласно АТС-классификации являются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регистрационным номером субстанции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областьюю заболеваний, при которых применяются, препараты конкретной субстанции, исходя из анатомической системы классификации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наименованием основной терапевтической группы и ее подгруппы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lang w:val="ru-RU"/>
              </w:rPr>
            </w:pPr>
            <w:r>
              <w:rPr>
                <w:color w:val="000000"/>
                <w:szCs w:val="24"/>
              </w:rPr>
              <w:t>наименованием терапевтическо-химической 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Этап развития товароведения,  основной задачей которого было квалифицированное описание товаров с целью ознакомления с их назначением, основными свойствами и способами потребления назывался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товароведно-описательный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товароведно-технологический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товароведно-формирующий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>товароведно-коммерческий этап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Этап развития товароведения, в период которого исследуется также материально-вещественная природа потребительной стоимости сырья, материалов, полуфабрикатов, готовых изделий и делаются попытки их количественной увязки с отдельными потребительскими свойствами продуктов, называется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товароведно-технологический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товароведно-формирующий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>товароведно-коммерческий этап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товароведно-описательный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Этап развития товароведения, в период которого наряду с материально-вещественной природой потребительной стоимости исследуются структура общественных свойств товаров и возможность их количественной формализации с целью формирования товаров с заданной общественной потребительной стоимостью, называется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товароведно-формирующий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товароведно-технологический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>товароведно-коммерческий этап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товароведно-описательный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Упаковочная система, где размещается непосредственно сам фармпрепарат называется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первичная упаковка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вторичная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третичная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229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Специализированная упаковка для лекарства с идентификационными данными, предназначенная для сохранности содержимого, а также для осуществления надлежащего учета фармтовара в единой базе  называется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вторичная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первичная упаковка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третичная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Упаковочный продукт, которые используется для размещения различного количества лекарственных форм во вторичной потребительской упаковке называется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вторичная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первичная упаковка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третичная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упаковочная система, которая предназначена для безопасной доставки фармпродукции к месту сбыта называется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третичная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групповая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вторичная упаковка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первичная упаковка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Перечень отечественных и зарубежных лекарств, медико-профилактических и диагностических средств, зарегистрированных Минздравом России называется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государственный реестр лекарственных средств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информационной системой "Честный знак"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реестр деклараций соответствия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sans-serif" w:hAnsi="sans-serif"/>
                <w:sz w:val="2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Анатомо-Терапевтически-Химическая (АТХ) система классификации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highlight w:val="yellow"/>
                <w:lang w:val="ru-RU"/>
              </w:rPr>
            </w:pPr>
            <w:r>
              <w:rPr>
                <w:color w:val="000000"/>
                <w:szCs w:val="24"/>
              </w:rPr>
              <w:t>Срок хранения рецептов на наркотические лекарственные средства 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highlight w:val="yellow"/>
                <w:lang w:val="ru-RU"/>
              </w:rPr>
            </w:pPr>
            <w:r>
              <w:rPr>
                <w:color w:val="000000"/>
                <w:szCs w:val="24"/>
              </w:rPr>
              <w:t>5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highlight w:val="yellow"/>
                <w:lang w:val="ru-RU"/>
              </w:rPr>
            </w:pPr>
            <w:r>
              <w:rPr>
                <w:color w:val="000000"/>
                <w:szCs w:val="24"/>
              </w:rPr>
              <w:t>10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highlight w:val="yellow"/>
                <w:lang w:val="ru-RU"/>
              </w:rPr>
            </w:pPr>
            <w:r>
              <w:rPr>
                <w:color w:val="000000"/>
                <w:szCs w:val="24"/>
              </w:rPr>
              <w:t>3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highlight w:val="yellow"/>
                <w:lang w:val="ru-RU"/>
              </w:rPr>
            </w:pPr>
            <w:r>
              <w:rPr>
                <w:color w:val="000000"/>
                <w:szCs w:val="24"/>
              </w:rPr>
              <w:t>1 год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rStyle w:val="a5"/>
                <w:b w:val="0"/>
                <w:bCs w:val="0"/>
                <w:color w:val="000000"/>
                <w:szCs w:val="24"/>
                <w:highlight w:val="white"/>
                <w:lang w:val="ru-RU"/>
              </w:rPr>
              <w:t>Бесплатно все лекарственные препараты из аптек имеют право получать: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дети до 3 лет, инвалиды и участники войны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дети до 10 лет (в многодетных семьях)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дети до 14 лет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население, проживающее в сельской местности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</w:rPr>
              <w:t>Рецепт с пометкой "statim" (немедленно) обслуживается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одного рабочего дня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двух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пяти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десяти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Рецепт с пометкой "cito" (срочно) обслуживается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двух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одного рабочего дня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пяти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десяти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обслуживается в течение пяти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двух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одного рабочего дня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пятнадцати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десяти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двух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одного рабочего дня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обслуживается в течение пяти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239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рецепты на лекарственные препараты, назначаемые по решению врачебной комиссии, обслуживаются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пятнадцати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десяти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двух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обслуживается в течение пяти рабочих дней со дня обращения лица к субъекту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Можно ли  отпускать лекарственные препараты по рецептам с истекшим сроком действия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Можно, только если срок действия рецепта истек в период нахождения его на отсроченном обслуживании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Нет, нельзя ни в каких случаях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Можно, только после его переоформления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Нет,. если только пациент не является инвалидом 1 группы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Отпуск лекарственного препарата запрещается при нарушение какого вида   упаковки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первичной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вторичной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групповой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третичной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отпускает  количество лекарственного препарата указанное в  предъявленном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отказывает в отпуске лекарственного препарата по предъявленному рецепту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оставляет рецепт а отсроченное обслуживание после его переоформления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отпуск имеющегося лекарственного препарата допускается, если дозировка такого лекарственного препарата меньше дозировки, указанной в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отпуск имеющегося лекарственного препарата не допускается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отпуск имеющегося лекарственного препарата допускается, если дозировка такого лекарственного препарата больше дозировки, указанной в рецепте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отпуск имеющегося лекарственного препарата допускается после переоформления рецепта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медицинский работник, выписавший рецепт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сотрудник  субъекта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предъявитель рецепта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руководитель субъекта розничной торговли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При отпуске лекарственных препаратов по рецепту фармацевтический работник не проставляет отметку  на рецепте об отпуске лекарственного препарата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международное непантентованное  наименования  отпущенного лекарственного препарата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наименования аптечной организации (фамилии, имени, отчества (при наличии) индивидуального предпринимателя)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фамилии, имени, отчества (при наличии) фармацевтического работника, отпустившего лекарственный препарат, и его подписи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даты отпуска лекарственного препарата.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Первичные упаковки и вторичные (потребительские) упаковки наркотических средств, психотропных веществ, внесенных в Список II и используемых в медицинских целях и (или) в ветеринарии, должны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иметь </w:t>
            </w:r>
            <w:r>
              <w:rPr>
                <w:color w:val="000000"/>
                <w:szCs w:val="24"/>
              </w:rPr>
              <w:t>двойн</w:t>
            </w:r>
            <w:r>
              <w:rPr>
                <w:color w:val="000000"/>
                <w:szCs w:val="24"/>
                <w:lang w:val="ru-RU"/>
              </w:rPr>
              <w:t>ую</w:t>
            </w:r>
            <w:r>
              <w:rPr>
                <w:color w:val="000000"/>
                <w:szCs w:val="24"/>
              </w:rPr>
              <w:t xml:space="preserve"> красн</w:t>
            </w:r>
            <w:r>
              <w:rPr>
                <w:color w:val="000000"/>
                <w:szCs w:val="24"/>
                <w:lang w:val="ru-RU"/>
              </w:rPr>
              <w:t>ую</w:t>
            </w:r>
            <w:r>
              <w:rPr>
                <w:color w:val="000000"/>
                <w:szCs w:val="24"/>
              </w:rPr>
              <w:t xml:space="preserve"> полос</w:t>
            </w:r>
            <w:r>
              <w:rPr>
                <w:color w:val="000000"/>
                <w:szCs w:val="24"/>
                <w:lang w:val="ru-RU"/>
              </w:rPr>
              <w:t>ку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иметь обозначение "Осторожно"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иметь красную кружок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иметь опознавательный знак, присвоенный данной группе лекарственных препаратов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Цифровой код России по системе ЕАN состоит из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13 цифр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 цифр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7 цифр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15 цифр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Первые 2-3 цифры штрихового кода России по системе ЕАN обозначают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код страны-производителя или страны, в которой зарегистрирована фирма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код товара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контрольные цифры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код изготовителя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249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3-7 цифры штрихового кода России по системе ЕАN обозначают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код изготовителя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код страны-производителя или страны, в которой зарегистрирована фирма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код товара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контрольные цифры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8-12 цифры штрихового кода России по системе ЕАN обозначают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код товара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код изготовителя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код страны-производителя или страны, в которой зарегистрирована фирма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контрольные цифры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13 цифа штрихового кода России по системе ЕАN обозначает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контрольное число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код товара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код изготовителя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код страны-производителя или страны, в которой зарегистрирована фирма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 xml:space="preserve">Что из перечисленного относится к твёрдым формам лекарственных веществ?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 xml:space="preserve">порошки, таблетки, пилюли, болюсы, шарики, палочки, брикет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 xml:space="preserve">мази, микстуры, настойки, пасты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PT Sans;sans-serif" w:hAnsi="PT Sans;sans-serif"/>
                <w:color w:val="000000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 xml:space="preserve">пасты, кашки, порошки, таблетки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порошки, таблетки, пилюли, болюсы, шарики, настойки, брикет.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Что из перечисленного относится к жидким лекарственным веществам?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микстуры, настои, настойки, отвары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мази, микстуры, настои, настойки, отвары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микстуры, настои, настойки, таблетки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брикет, микстуры, шарики, настойки, мази, пасты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5"/>
                <w:numId w:val="2"/>
              </w:numPr>
              <w:rPr>
                <w:rFonts w:ascii="Montserrat;sans-serif" w:hAnsi="Montserrat;sans-serif"/>
                <w:color w:val="141414"/>
                <w:sz w:val="21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Таблетки 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содержащая разовую дозу одного или нескольких лекарственных веществ, полученных прессованием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состоящая из твердой или мягкой оболочки, чаще всего желатиновой, различной емкости, содержащей порошковые, гранулированные или жидкие лекарственные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несвязанных, рыхлых, сухих частиц с достаточно высокой степенью насыщения с добавками или без них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твердых сухих агломератов твердых частиц, достаточно устойчивых к обработке, предназначенных для перорального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5"/>
                <w:numId w:val="2"/>
              </w:numPr>
              <w:rPr>
                <w:rFonts w:ascii="Montserrat;sans-serif" w:hAnsi="Montserrat;sans-serif"/>
                <w:color w:val="141414"/>
                <w:sz w:val="21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Капсулы-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состоящая из твердой или мягкой оболочки, чаще всего желатиновой, различной емкости, содержащей порошковые, гранулированные или жидкие лекарственные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содержащая разовую дозу одного или нескольких лекарственных веществ, полученных прессованием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несвязанных, рыхлых, сухих частиц с достаточно высокой степенью насыщения с добавками или без них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твердых сухих агломератов твердых частиц, достаточно устойчивых к обработке, предназначенных для перорального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5"/>
                <w:numId w:val="2"/>
              </w:numPr>
              <w:rPr>
                <w:rFonts w:ascii="Montserrat;sans-serif" w:hAnsi="Montserrat;sans-serif"/>
                <w:color w:val="141414"/>
                <w:sz w:val="21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Порошок-это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несвязанных, рыхлых, сухих частиц с достаточно высокой степенью насыщения с добавками или без них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состоящая из твердой или мягкой оболочки, чаще всего желатиновой, различной емкости, содержащей порошковые, гранулированные или жидкие лекарственные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содержащая разовую дозу одного или нескольких лекарственных веществ, полученных прессованием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твердых сухих агломератов твердых частиц, достаточно устойчивых к обработке, предназначенных для перорального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5"/>
                <w:numId w:val="2"/>
              </w:numPr>
              <w:rPr>
                <w:rFonts w:ascii="Montserrat;sans-serif" w:hAnsi="Montserrat;sans-serif"/>
                <w:color w:val="141414"/>
                <w:sz w:val="21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Гранулы-это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твердых сухих агломератов твердых частиц, достаточно устойчивых к обработке, предназначенных для перорального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лекарственная форма, состоящая из несвязанных, рыхлых, сухих частиц с достаточно высокой степенью насыщения с добавками или без них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состоящая из твердой или мягкой оболочки, чаще всего желатиновой, различной емкости, содержащей порошковые, гранулированные или жидкие лекарственные средства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лекарственная форма, содержащая разовую дозу одного или нескольких лекарственных веществ, полученных прессованием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5"/>
                <w:numId w:val="2"/>
              </w:numPr>
              <w:rPr>
                <w:rFonts w:ascii="Montserrat;sans-serif" w:hAnsi="Montserrat;sans-serif"/>
                <w:color w:val="141414"/>
                <w:sz w:val="21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Раствор-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прозрачная жидкость, содержащая обычно одно лекарственное вещество, растворенное в подходящей среде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густая консистенция, содержащая две или более нерастворимых жидкости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 xml:space="preserve">представляет собой макрогетерогенную (крупные частицы) дисперсную систему твердых, нерастворимых в жидкости ЛС.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содержат высокоактивные вещества, назначаемые для перорального или наружного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259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5"/>
                <w:numId w:val="2"/>
              </w:numPr>
              <w:rPr>
                <w:rFonts w:ascii="Montserrat;sans-serif" w:hAnsi="Montserrat;sans-serif"/>
                <w:color w:val="141414"/>
                <w:sz w:val="21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Эмульсия- 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густая консистенция, содержащая две или более нерастворимых жидкости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прозрачная жидкость, содержащая обычно одно лекарственное вещество, растворенное в подходящей среде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 xml:space="preserve">представляет собой макрогетерогенную (крупные частицы) дисперсную систему твердых, нерастворимых в жидкости ЛС.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содержат высокоактивные вещества, назначаемые для перорального или наружного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numPr>
                <w:ilvl w:val="5"/>
                <w:numId w:val="2"/>
              </w:numPr>
              <w:rPr>
                <w:rFonts w:ascii="Montserrat;sans-serif" w:hAnsi="Montserrat;sans-serif"/>
                <w:color w:val="141414"/>
                <w:sz w:val="21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Капли-это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содержат высокоактивные вещества, назначаемые для перорального или наружного применения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густая консистенция, содержащая две или более нерастворимых жидкости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>прозрачная жидкость, содержащая обычно одно лекарственное вещество, растворенное в подходящей среде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Montserrat;sans-serif" w:hAnsi="Montserrat;sans-serif"/>
                <w:color w:val="141414"/>
                <w:sz w:val="21"/>
                <w:lang w:val="ru-RU"/>
              </w:rPr>
            </w:pPr>
            <w:r>
              <w:rPr>
                <w:color w:val="000000"/>
                <w:szCs w:val="24"/>
              </w:rPr>
              <w:t xml:space="preserve">представляет собой макрогетерогенную (крупные частицы) дисперсную систему твердых, нерастворимых в жидкости ЛС.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Остаются и хранятся у субъекта розничной торговли рецепты (с отметкой "Лекарственный препарат отпущен") на лекарственные препараты, отпускаемые бесплатно или со скидкой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трех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пяти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одного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трех мсяцев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Остаются и хранятся у субъекта розничной торговли рецепты (с отметкой "Лекарственный препарат отпущен") на комбинированные лекарственные препараты, содержащие наркотические средства или психотропные вещества, внесенные в списки </w:t>
            </w:r>
            <w:hyperlink r:id="rId72" w:anchor="l9" w:history="1">
              <w:r>
                <w:rPr>
                  <w:rStyle w:val="-"/>
                  <w:color w:val="000000"/>
                  <w:szCs w:val="24"/>
                </w:rPr>
                <w:t>II</w:t>
              </w:r>
            </w:hyperlink>
            <w:r>
              <w:rPr>
                <w:color w:val="000000"/>
                <w:szCs w:val="24"/>
                <w:lang w:val="ru-RU"/>
              </w:rPr>
              <w:t xml:space="preserve"> и </w:t>
            </w:r>
            <w:hyperlink r:id="rId73" w:anchor="l36" w:history="1">
              <w:r>
                <w:rPr>
                  <w:rStyle w:val="-"/>
                  <w:color w:val="000000"/>
                  <w:szCs w:val="24"/>
                </w:rPr>
                <w:t>III</w:t>
              </w:r>
            </w:hyperlink>
            <w:r>
              <w:rPr>
                <w:color w:val="000000"/>
                <w:szCs w:val="24"/>
                <w:lang w:val="ru-RU"/>
              </w:rPr>
      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предметноколичественному учету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трех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пяти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одного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трех мсяцев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Остаются и хранятся у субъекта розничной торговли рецепты (с отметкой "Лекарственный препарат отпущен") на лекарственные препараты в жидкой лекарственной форме, содержащие более 15 %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трех 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трех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пяти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в течение одного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 медицинским изделий 1 класса отноосятся: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низкой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со средней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повышенной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высокой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 медицинским изделий 2а класса отноосятся: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со средней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низкой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повышенной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высокой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 медицинским изделий 2б  класса отноосятся: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повышенной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со средней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низкой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высокой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 медицинским изделий 3 класса отноосятся: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высокой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со средней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повышенной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медицинские изделия с низкой степенью риска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Неинвазивные медицинские изделия относятся к классу 1, если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как механические барьеры или для компрессии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для ран, которые можно залечить только посредством вторичного заживления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во всех иных случаях (включая медицинские изделия, которые предназначены преимущественно для воздействия на микросреду ран)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предназначенны для изменения биологического или химического состава крови, других жидкостей тела или жидкостей, предназначенных для инфузии в тело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269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Неинвазивные медицинские изделия относятся к классу 2б, если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для ран, которые можно залечить только посредством вторичного заживления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как механические барьеры или для компрессии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во всех иных случаях (включая медицинские изделия, которые предназначены преимущественно для воздействия на микросреду ран)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лечебное воздействие заключается в фильтрации, центрифугировании, газообмене или теплообмене для изменения биологического или химического состава крови, других жидкостей тела или жидкостей, предназначенных для инфузии в тело, медицинские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Неинвазивные медицинские изделия относятся к классу 2а, если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во всех иных случаях (включая медицинские изделия, которые предназначены преимущественно для воздействия на микросреду ран)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для ран, которые можно залечить только посредством вторичного заживления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как механические барьеры или для компрессии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предназначенны для изменения биологического или химического состава крови, других жидкостей тела или жидкостей, предназначенных для инфузии в тело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Неинвазивные медицинские изделия относятся к классу 2а, если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лечебное воздействие заключается в фильтрации, центрифугировании, газообмене или теплообмене для изменения биологического или химического состава крови, других жидкостей тела или жидкостей, предназначенных для инфузии в тело, медицинские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для ран, которые можно залечить только посредством вторичного заживления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как механические барьеры или для компрессии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предназначены для изменения биологического или химического состава крови, других жидкостей тела или жидкостей, предназначенных для инфузии в тело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Неинвазивные медицинские изделия относятся к классу 2б, если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 предназначенны для изменения биологического или химического состава крови, других жидкостей тела или жидкостей, предназначенных для инфузии в тело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как механические барьеры или для компрессии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они используются во всех иных случаях (включая медицинские изделия, которые предназначены преимущественно для воздействия на микросреду ран)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лечебное воздействие заключается в фильтрации, центрифугировании, газообмене или теплообмене для изменения биологического или химического состава крови, других жидкостей тела или жидкостей, предназначенных для инфузии в тело, медицинские изделия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Инвазивные медицинские изделия (за исключением хирургических инвазивных), применение которых связано с анатомическими полостями в теле человека и которые не предназначены для присоединения к активному медицинскому изделию: относятся к классу 1 , если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эти медицинские изделия кратковременного применения (непрерывного применения в течение не более 60 мин.)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если эти медицинские изделия временного применения (непрерывного применения в течение не более 30 суток)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эти медицинские изделия длительного применения (непрерывного применения в течение более 30 суток)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эти медицинские изделия длительно применяют в полости рта до глотки, в слуховом проходе до барабанной перепонки или в полости носа и не могут быть резорбируемы слизистой оболочкой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Номенклатурная классификация медицинских изделий не содержит: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Цену производителя без НДС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числовое обозначение вида медицинского изделия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наименование вида медицинского изделия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описание вида медицинского изделия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Определите розничную цену на препарат из списка ЖНВЛС аспирин кардио с зарегистрированной ценой 59,35 руб.,  если производитель является плетельщиком НДС, оптовая организация находится на УСН,.а розничная организация плательщик НДС ( в Астраханской области оптовая надбавка составляет 11,73%,. розничная 24,6%)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95,93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83,02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91,34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100,46 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Определите розничную цену на препарат из списка ЖНВЛС- </w:t>
            </w:r>
            <w:r>
              <w:rPr>
                <w:color w:val="000000"/>
                <w:szCs w:val="24"/>
                <w:lang w:val="ru-RU"/>
              </w:rPr>
              <w:t>т</w:t>
            </w:r>
            <w:r>
              <w:rPr>
                <w:color w:val="000000"/>
                <w:szCs w:val="24"/>
              </w:rPr>
              <w:t>етрациклин  с зарегистрированной ценой 47,15 руб.,  если оптовая организация находится на УСН,.а розничная организация плательщик НДС ( в Астраханской области оптовая надбавка составляет 11,73%,. розничная 24,6%)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75,85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65,64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72,2 руб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71,52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Определите розничную цену на препарат из списка ЖНВЛС- </w:t>
            </w:r>
            <w:r>
              <w:rPr>
                <w:color w:val="000000"/>
                <w:szCs w:val="24"/>
                <w:lang w:val="ru-RU"/>
              </w:rPr>
              <w:t>ф</w:t>
            </w:r>
            <w:r>
              <w:rPr>
                <w:color w:val="000000"/>
                <w:szCs w:val="24"/>
              </w:rPr>
              <w:t>еназепам   с зарегистрированной ценой 140.67  руб.,  если  оптовая организация находится на общем режиме налогообложения,а розничная организация не плательщик НДС ( в Астраханской области оптовая надбавка составляет 12%,. розничная 24,9%)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208,06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196,78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216,46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223,81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Определите розничную цену на препарат из списка ЖНВЛС- </w:t>
            </w:r>
            <w:r>
              <w:rPr>
                <w:color w:val="000000"/>
                <w:szCs w:val="24"/>
                <w:lang w:val="ru-RU"/>
              </w:rPr>
              <w:t>к</w:t>
            </w:r>
            <w:r>
              <w:rPr>
                <w:color w:val="000000"/>
                <w:szCs w:val="24"/>
              </w:rPr>
              <w:t>ораксан    с зарегистрированной ценой 482,35 руб.,  если производитель оптовая организация находится на общем режиме налогообложения  и розничная организация  плательщик НДС ( в Астраханской области оптовая надбавка составляет 12%,. розничная 24,9%)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726,36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660,34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674,75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742,22 руб.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279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Определите розничную цену на препарат из списка ЖНВЛС трамадол   с зарегистрированной ценой 31,60 руб.,  если оптовая организация находится на УСН, а розничная организация плательщик НДС ( в Астраханской области оптовая надбавка составляет 35%,. розничная 49%)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67,43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46,61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51,27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48,39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Определите розничную цену на препарат из списка ЖНВЛС - сумамед    с зарегистрированной ценой 312.74  руб.,  если оптовая организация находится на общем режиме налогообложения  и розничная организация  плательщик НДС ( в Астраханской области оптовая надбавка составляет 12%, розничная 24,9%)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470,95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505,36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508,46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509,48 рублей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Дезинфекцию резиновых изделий, таких как грелки, перчатки, катетеры, зонды, наконечники, в медицинских учреждениях проводят кипячением в стерилизаторе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течение 15 мин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 течении 20 мин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 течении 10 мин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 течении 20 мин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 любом резиновом изделии оттиском гравировки на пресс-форме или маркировочной краской, или на ярлыке, или сочетанием указанных способов не указывается: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срок хранения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наименование изделия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дата изготовления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штамп технического контроля или номер упаковщика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Изделия упаковывают в полиэтиленовые пакеты, в коробки из картона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не более 10 шт. изделий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не более 50 шт. изделий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не более 25 шт. изделий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не более 5 шт. изделий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сохранности резиновых изделий в помещениях для хранения необходимо обеспечить: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относительную влажность воздуха не менее 65 % и не более 80 %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относительную влажность воздуха не менее 30 % и не более 50 %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относительную влажность воздуха не менее 45 % и не более 65 %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относительную влажность воздуха не менее 30 % и не более 60 %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сохранности резиновых изделий в помещениях для хранения необходимо обеспечить: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хранение на расстоянии не менее 1 м от нагревательных приборов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хранение на расстоянии не менее 1,5 м от нагревательных приборов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хранение на расстоянии не менее 0,5 м от нагревательных приборов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хранение на расстоянии не менее 2 м от нагревательных приборов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Резиновые медицинские изделия нельзя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укладывать в несколько слоев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хранить в плотно закрытых шкафах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хранить  в шкафах с гладкой поверхностью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 хорошо проветриваемом помещении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Резиновые перчатки, если они затвердели, и стали ломкими, рекомендуется положить, не расправляя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 15 мин в теплый (40 ºС) 5 % раствор аммиака, затем на 15 мин в теплую (40 ºС) воду с добавлением 5 % глицерина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 20 мин в теплый (40 ºС) раствор лимонной кислоты, затем на 15 мин в теплую (40 ºС) воду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 25 мин в раствор уксусной кислооты, затем на 15 мин в теплую  воду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 10 мин в раствор аммиака, затем на 15 мин в  воду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Гарантийный срок хранения грелок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3,5 года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2,5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289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Гарантийный срок эксплуатации грелок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 год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6 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Тип пузыря резинового  для льда №1 имеет назначение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Общего назначения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Специального назначения: </w:t>
            </w:r>
            <w:r>
              <w:rPr>
                <w:color w:val="000000"/>
                <w:szCs w:val="24"/>
              </w:rPr>
              <w:t xml:space="preserve">для глаза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Специального назначения: </w:t>
            </w:r>
            <w:r>
              <w:rPr>
                <w:color w:val="000000"/>
                <w:szCs w:val="24"/>
              </w:rPr>
              <w:t xml:space="preserve">для горла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Специального назначения: для женского сердца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Круги подкладные служат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защиты от образования пролежней у лежачих больных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местного охлаждения тела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спринцевания и промывания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введения и отсасывания жидкостей из организма и в лабораторной практике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Трубки газоотводные используются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отведения газов из прямой и сигмовидной кишки при метеоризме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отвода мочи и промывания мочевого пузыря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взятия пробы желудочного сока, а также промывания желудка с лечебной целью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выполнения искусственного дыхания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Катетеры цилиндрические предназначены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отвода мочи и промывания мочевого пузыря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дренирования мочевого пузыря в послеоперационном периоде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отведения газов из прямой и сигмовидной кишки при метеоризме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взятия пробы желчи из двенадцатиперстной кишки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Перчатки анатомические применяют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при патологоанатомических вскрытиях и других анатомических работах с целью защиты рук врача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защиты пациента и медицинского персонала от взаимного заражения при проведении медицинских исследований, диагностических и терапевтических процедур, а также при работе с зараженными материалами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защиты пальцев рук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для асептического проведения операций, а также для ручного обследования инфицированных органов и тканей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Укажите изделия из латекса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напальчники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кружка Эсмарха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спринцовки с мягким наконечником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кольца маточные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Укажите метод изготовления трубок резиновых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метод экструзии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литье под давлением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метод формования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метод прессования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Укажите катетеры, которые используются для дренирования мочевого пузыря в послеоперационном периоде: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катетер крупноголовчатый (по Петцеру)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катетер цилиндрический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катетер металлический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rStyle w:val="a5"/>
                <w:b w:val="0"/>
                <w:bCs w:val="0"/>
                <w:color w:val="000000"/>
                <w:szCs w:val="24"/>
                <w:lang w:val="ru-RU"/>
              </w:rPr>
              <w:t>Катетер Фолея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Укажите гарантийный срок хранения перчаток хирургических и анатомических: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12 месяцев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18 месяцев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6 месяцев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24 месяца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299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Перчатки хирургические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служат  для асептического проведения операций, а также для ручного обследования инфицированных органов и тканей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применяют при патологоанатомических вскрытиях и других анатомических работах с целью защиты рук врача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предназначены для защиты пациента и медицинского персонала от взаимного заражения при проведении медицинских исследований, диагностических и терапевтических процедур, а также при работе с зараженными материалами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предназначены для защиты пальцев рук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Гарантийный срок хранения спринцовок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12 месяцев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18 месяцев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6 месяцев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24 месяца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Согласно пп. 4 п. 2 ст. 164 НК РФ ставка налога добавленную стоимость для лекарственых средств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10%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18 %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20%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освобождены от НДС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Roboto;sans-serif" w:hAnsi="Roboto;sans-serif"/>
                <w:color w:val="444444"/>
                <w:sz w:val="22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Какой размер ставки НДС применяется, если регистрационное удостоверение на лекарство отсутствует либо срок действия регистрационного удостоверения истек</w:t>
            </w:r>
          </w:p>
        </w:tc>
      </w:tr>
      <w:tr w:rsidR="00A20D57">
        <w:trPr>
          <w:trHeight w:val="514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18%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освобождены от НДС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rFonts w:ascii="Arial;Helvetica;sans-serif" w:hAnsi="Arial;Helvetica;sans-serif"/>
                <w:color w:val="2D2D2D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Согласно ГОСТ 19126-79, медицинсие инструменты по назначению подразделяются на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</w:t>
            </w:r>
            <w:r>
              <w:rPr>
                <w:color w:val="000000"/>
                <w:szCs w:val="24"/>
              </w:rPr>
              <w:t xml:space="preserve">олющие, режущие, оттесняющие, инструменты зажимные, зондирующие, бужирующие, травматологические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</w:t>
            </w:r>
            <w:r>
              <w:rPr>
                <w:color w:val="000000"/>
                <w:szCs w:val="24"/>
              </w:rPr>
              <w:t xml:space="preserve">олющие, режущие, оттесняющие, инструменты зажимные, зондирующие, одноразовые, травматологические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</w:t>
            </w:r>
            <w:r>
              <w:rPr>
                <w:color w:val="000000"/>
                <w:szCs w:val="24"/>
              </w:rPr>
              <w:t xml:space="preserve">олющие, режущие, оттесняющие, инструменты зажимные, зондирующие, многоразовые, травматологические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</w:t>
            </w:r>
            <w:r>
              <w:rPr>
                <w:color w:val="000000"/>
                <w:szCs w:val="24"/>
              </w:rPr>
              <w:t>олющие, режущие, оттесняющие, инструменты зажимные, зондирующие, травматологические одноразовые, многоразовые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Для инструментов, имеющих замковые соединения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ход бранш должен быть легким и плавным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допускается самопроизвольное отвинчивание винта в процессе работы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bookmarkStart w:id="2" w:name="redstr"/>
            <w:bookmarkStart w:id="3" w:name="P0037"/>
            <w:bookmarkEnd w:id="2"/>
            <w:bookmarkEnd w:id="3"/>
            <w:r>
              <w:rPr>
                <w:color w:val="000000"/>
                <w:szCs w:val="24"/>
              </w:rPr>
              <w:t>выступание головки (кроме потайной) и расклепанного конца винта оси замка над поверхностью инструмента должно быть более 0,5 мм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ось коробчатых замков не должна быть расклепана и обработана заподлицо с поверхностью инструмента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Согласно ГОСТ 19126-79 радиусы притупления рабочих частей колющих инструментов должны быть, мм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более 0,03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менее 0,3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более 0,1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не более 0,5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Согласно ГОСТ 19126-79 радиусы притупления рабочих частей зондирующих (кроме стержневых стоматологических) и оттесняющих нструментов должны быть , мм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менее 0,3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более 0,03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более 0,1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не более 0,5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Периодические испытания инструментов серийного и массового производства проводят на соответствие требованиям  ГОСТу 19126-79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реже раза в год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реже раза в три года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не реже раза одного раза в 6 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не реже раза в месяц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Периодические испытания инструментов мелкосерийного производства (до 1500 шт. в год) на соответствие требованиям  ГОСТу 19126-79  проводят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реже раза в три года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не реже раза одного раза в 6 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не реже раза в месяц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не реже раза в год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309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Количество образцов для периодических испытаний устанавливают в стандартах и технических условиях на инструменты конкретных видов, но не могут составлять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менее трех инструментов одного типоразмера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менее двух инструментов одного типоразмера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менее пяти инструментов одного типоразмера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менее одного инструмента каждого типоразмера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Если при периодических испытаниях установлено несоответствие инструментов хотя бы одному из требований стандарта, стандартов и технических условий на инструменты конкретных видов, то результаты испытаний считают неудовлетворительными и проводят повторные испытания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удвоенного числа инструментов по всем требованиям, по которым зафиксировано несоответствие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такого же числа инструментов по всем требованиям, по которым зафиксировано несоответствие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утроенного числа инструментов по всем требованиям, по которым зафиксировано несоответствие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проводят выборочную проверку инструментов по всем требованиям, по которым зафиксировано несоответствие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После проведения испытаний допускается появление следов меди на: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в местах паяных или сварных соединений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небольших участках соединений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рабочих частях инструментов, имеющих нарезку и зубцы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помутнение поверхности, вызванное воздействием сульфата меди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Какого метода испытания металлических изделий медицинского назначения не сущесствует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стерилизация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погружение в раствор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капельный метод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кипячение в воде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Инструменты могут не иметь четкой маркировки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о сроке эксплуатации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номер инструмента или его обозначение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товарный знак предприятия-изготовителя;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год выпуска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Медицинские инструменты 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изделия, предназначенные для проведения определенных манипуляций на органах и тканях человеческого организма, с целью механического воздействия на них, а также определенных действий с материалами, применяемыми при этих манипуляциях. В настоящем стандарте к медицинским инструментам условно отнесены элементы для соединения костей, воздействия на кости и скобки для соединения костей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инструменты, предназначенные для определения размеров и содержимого полости организма, а также направления и протяженности каналов, ходов тела человека как естественных, так и образованных в результате патологических образований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 для рассечения или отделения частей тканей человека и различных медицинских материалов при помощи режущих кромок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инструменты, предназначенные для расширения полостей, отодвигания тканей и органов человека без разрыва их, а также с разрывом окружающих слоев тканей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Режущие инструменты - 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 для рассечения или отделения частей тканей человека и различных медицинских материалов при помощи режущих кромок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инструменты, предназначенные для определения размеров и содержимого полости организма, а также направления и протяженности каналов, ходов тела человека как естественных, так и образованных в результате патологических образований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инструменты, предназначенные для расширения полостей, отодвигания тканей и органов человека без разрыва их, а также с разрывом окружающих Инструменты, предназначенные для расширения, исследования и лечения органов трубчатой формы слоев тканей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технические средства, при помощи которых производят профилактические, диагностические, лечебные, исследовательские манипуляции на органах и тканях с целью механического воздействия на них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Бужирующие инструменты 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инструменты, предназначенные для расширения, исследования и лечения органов трубчатой формы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инструменты, предназначенные для расширения полостей, отодвигания тканей и органов человека без разрыва их, а также с разрывом окружающих слоев тканей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инструменты, предназначенные для определения размеров и содержимого полости организма, а также направления и протяженности каналов, ходов тела человека как естественных, так и образованных в результате патологических образований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инструменты для рассечения или отделения частей тканей человека и различных медицинских материалов при помощи режущих кромок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Для изготовления рано – расширителей, пинцетов, корнцангов, зажимов используют углеродистую сталь марки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У7А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У8А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У10А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У12А 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Для изготовления пил, долот, щипцов костных, распаторов, троакаров используют углеродистую сталь марки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У8А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У10А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У12А 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У7А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319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Для изготовления ножей, ножниц используют углеродистую сталь марки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У10А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У7А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У8А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У12А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Для изготовления глазных ножей используют углеродистую сталь марки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У12А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У10А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У7А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У8А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Высоколегированной сталью считается сталь содержащая легирующих элементов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более 10 %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более 2 %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более 5 %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более 15 %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Д</w:t>
            </w:r>
            <w:r>
              <w:rPr>
                <w:color w:val="000000"/>
                <w:szCs w:val="24"/>
              </w:rPr>
              <w:t xml:space="preserve">ля отливок оснований столов, кресел, крестовин, стоек и других деталей оборудования и машин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ч</w:t>
            </w:r>
            <w:r>
              <w:rPr>
                <w:color w:val="000000"/>
                <w:szCs w:val="24"/>
              </w:rPr>
              <w:t xml:space="preserve">угун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с</w:t>
            </w:r>
            <w:r>
              <w:rPr>
                <w:color w:val="000000"/>
                <w:szCs w:val="24"/>
              </w:rPr>
              <w:t>таль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нейзильбер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тантал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О</w:t>
            </w:r>
            <w:r>
              <w:rPr>
                <w:color w:val="000000"/>
                <w:szCs w:val="24"/>
              </w:rPr>
              <w:t xml:space="preserve">сновной материал, широко применяемый для производства медицинских инструментов, оборудования и техники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с</w:t>
            </w:r>
            <w:r>
              <w:rPr>
                <w:color w:val="000000"/>
                <w:szCs w:val="24"/>
              </w:rPr>
              <w:t xml:space="preserve">таль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чугун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латунь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виталиум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Л</w:t>
            </w:r>
            <w:r>
              <w:rPr>
                <w:color w:val="000000"/>
                <w:szCs w:val="24"/>
              </w:rPr>
              <w:t xml:space="preserve">атунь марки JI-62 имеет в составе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(62 % меди и 38 % цинка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59 % меди, 1 % свинца, остальное – цинк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59 % меди и 41 %  цинк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38 % меди и 62 % цинка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Из какого материала изготавливают трубки трахеотомические, канюли, глазные инструменты, зонды ушные и носовые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из </w:t>
            </w:r>
            <w:r>
              <w:rPr>
                <w:color w:val="000000"/>
                <w:szCs w:val="24"/>
              </w:rPr>
              <w:t>нейзильбер</w:t>
            </w:r>
            <w:r>
              <w:rPr>
                <w:color w:val="000000"/>
                <w:szCs w:val="24"/>
                <w:lang w:val="ru-RU"/>
              </w:rPr>
              <w:t>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из </w:t>
            </w:r>
            <w:r>
              <w:rPr>
                <w:color w:val="000000"/>
                <w:szCs w:val="24"/>
              </w:rPr>
              <w:t>алюмини</w:t>
            </w:r>
            <w:r>
              <w:rPr>
                <w:color w:val="000000"/>
                <w:szCs w:val="24"/>
                <w:lang w:val="ru-RU"/>
              </w:rPr>
              <w:t>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из </w:t>
            </w:r>
            <w:r>
              <w:rPr>
                <w:color w:val="000000"/>
                <w:szCs w:val="24"/>
              </w:rPr>
              <w:t>латун</w:t>
            </w:r>
            <w:r>
              <w:rPr>
                <w:color w:val="000000"/>
                <w:szCs w:val="24"/>
                <w:lang w:val="ru-RU"/>
              </w:rPr>
              <w:t>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из </w:t>
            </w:r>
            <w:r>
              <w:rPr>
                <w:color w:val="000000"/>
                <w:szCs w:val="24"/>
              </w:rPr>
              <w:t>дюралюмини</w:t>
            </w:r>
            <w:r>
              <w:rPr>
                <w:color w:val="000000"/>
                <w:szCs w:val="24"/>
                <w:lang w:val="ru-RU"/>
              </w:rPr>
              <w:t>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Из какого материала изготавливают катетеры, зонды, бужи, дилятаторы, арматура шприцев, головки игл инъекционных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из латуни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из </w:t>
            </w:r>
            <w:r>
              <w:rPr>
                <w:color w:val="000000"/>
                <w:szCs w:val="24"/>
              </w:rPr>
              <w:t>нейзильбер</w:t>
            </w:r>
            <w:r>
              <w:rPr>
                <w:color w:val="000000"/>
                <w:szCs w:val="24"/>
                <w:lang w:val="ru-RU"/>
              </w:rPr>
              <w:t>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из </w:t>
            </w:r>
            <w:r>
              <w:rPr>
                <w:color w:val="000000"/>
                <w:szCs w:val="24"/>
              </w:rPr>
              <w:t>алюмини</w:t>
            </w:r>
            <w:r>
              <w:rPr>
                <w:color w:val="000000"/>
                <w:szCs w:val="24"/>
                <w:lang w:val="ru-RU"/>
              </w:rPr>
              <w:t>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>из дюралюминия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Как называется сплав сложного состава, предназначен для изготовления специальных гвоздей для соединения отломков костей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виталиум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нейзильбер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золото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платина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Металлические покрытия металлических медицинских изделий от коррозии -это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изделия из углеродистых сталей и латуни покрывают гальваническим способом медью, никелем, хромом (одно – трехслойные покрытия)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искусственно созданные защитные металлические пленки, чаще всего за счет окисления поверхностного слоя металла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лакокрасочные и пленочные покрытия, используемые для защиты от коррозии медицинской мебели, оборудования, аппаратуры и приборов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оксидирование </w:t>
            </w:r>
            <w:r>
              <w:rPr>
                <w:color w:val="000000"/>
                <w:szCs w:val="24"/>
              </w:rPr>
              <w:t xml:space="preserve">поверхностного слоя металла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329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Химические покрытия металлических медицинских изделий от коррозии -это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это искусственно созданные защитные металлические пленки, чаще всего за счет окисления поверхностного слоя металла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изделия из углеродистых сталей и латуни покрывают гальваническим способом медью, никелем, хромом (одно – трехслойные покрытия)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лакокрасочные и пленочные покрытия, используемые для защиты от коррозии медицинской мебели, оборудования, аппаратуры и приборов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покрытие оловом или цинком поверхностного слоя металла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 xml:space="preserve">еметаллические покрытия металлических медицинских изделий от коррозии -это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лакокрасочные и пленочные покрытия, используемые для защиты от коррозии медицинской мебели, оборудования, аппаратуры и приборов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изделия из углеродистых сталей и латуни покрывают гальваническим способом медью, никелем, хромом (одно – трехслойные покрытия)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lang w:val="ru-RU"/>
              </w:rPr>
            </w:pPr>
            <w:r>
              <w:rPr>
                <w:color w:val="000000"/>
                <w:szCs w:val="24"/>
              </w:rPr>
              <w:t xml:space="preserve">искусственно созданные защитные металлические пленки, чаще всего за счет окисления поверхностного слоя металла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оксидирование </w:t>
            </w:r>
            <w:r>
              <w:rPr>
                <w:color w:val="000000"/>
                <w:szCs w:val="24"/>
              </w:rPr>
              <w:t xml:space="preserve">поверхностного слоя металла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Цветные материалы - это материалы, которые не содержат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железо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медь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алюминий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титан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Низкоуглеродистыми сталями называются стали с содержанием углерода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 0,25% углерода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0,25% до 0,6% </w:t>
            </w:r>
            <w:r>
              <w:rPr>
                <w:color w:val="000000"/>
                <w:szCs w:val="24"/>
                <w:lang w:val="ru-RU"/>
              </w:rPr>
              <w:t>углерода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более 0,6% </w:t>
            </w:r>
            <w:r>
              <w:rPr>
                <w:color w:val="000000"/>
                <w:szCs w:val="24"/>
                <w:lang w:val="ru-RU"/>
              </w:rPr>
              <w:t>углерода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углерод отсутствует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К силикатным материалам не относится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минералы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стекло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фаянс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фарфор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rStyle w:val="a5"/>
                <w:b w:val="0"/>
                <w:bCs w:val="0"/>
                <w:color w:val="000000"/>
                <w:szCs w:val="24"/>
              </w:rPr>
              <w:t>Силикаты</w:t>
            </w:r>
            <w:r>
              <w:rPr>
                <w:color w:val="000000"/>
                <w:szCs w:val="24"/>
              </w:rPr>
              <w:t>—</w:t>
            </w:r>
            <w:r>
              <w:rPr>
                <w:color w:val="000000"/>
                <w:szCs w:val="24"/>
                <w:lang w:val="ru-RU"/>
              </w:rPr>
              <w:t xml:space="preserve">это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соли кремневых кислот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изделия и материалы, изготовляемые соответствующей обработкой глиняного сырья с последующим обжигом отфор</w:t>
            </w:r>
            <w:r>
              <w:rPr>
                <w:color w:val="000000"/>
                <w:szCs w:val="24"/>
              </w:rPr>
              <w:softHyphen/>
              <w:t>мованного и высушенного полуфабриката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>это переохлажденные вещества, получаемые из жидких расплавов неорганических соединений и их смесей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химически стойкие материалы, обладающие газо- и водонепроницаемостью, высокой стойкостью к истиранию и хорошими электроизоляционными свойствами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Какого вида шовного материала  не существует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разрывного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рассасывающегося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медленно рассасывающегося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не рассасывающегося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К рассасывающимся нитям относят: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кетгут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лавсан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гортекс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корален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Нерассасывающиеся нити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суржилен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кацелон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коллаген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полиуретан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 xml:space="preserve">Срок рассасывания кетгута </w:t>
            </w:r>
            <w:r>
              <w:rPr>
                <w:color w:val="000000"/>
                <w:szCs w:val="24"/>
                <w:lang w:val="ru-RU"/>
              </w:rPr>
              <w:t>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в среднем 8—10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от 6 мес. до 1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от 1мес. до 2 мес.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от 14 дней до 1 мес.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339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 xml:space="preserve">Срок рассасывания </w:t>
            </w:r>
            <w:r>
              <w:rPr>
                <w:color w:val="000000"/>
                <w:szCs w:val="24"/>
                <w:lang w:val="ru-RU"/>
              </w:rPr>
              <w:t>шелка</w:t>
            </w:r>
            <w:r>
              <w:rPr>
                <w:color w:val="000000"/>
                <w:szCs w:val="24"/>
              </w:rPr>
              <w:t xml:space="preserve"> составляет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от 6 мес. до 1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в среднем 8—10 дней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от 1мес. до 2 мес.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от 14 дней до 1 мес.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Мононить -это шовный материал (нить)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в сечении представляет единую структуру с абсолютно гладкой поверхностью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изготавливается путем скручивания нескольких филамент по оси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получается путем плетения многих филамент по типу каната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плетеная нить, пропитанная и(или) покрытая полимерными материалами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>летеная нить -это шовный материал (нить)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получается путем плетения многих филамент по типу каната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в сечении представляет единую структуру с абсолютно гладкой поверхностью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изготаплетеная нить, пропитанная и(или) покрытая полимерными материалами вливается путем скручивания нескольких филамент по оси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плетеная нить, пропитанная и(или) покрытая полимерными материалами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Срок годности для нерассасывающихся нитей составляет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</w:t>
            </w:r>
            <w:r>
              <w:rPr>
                <w:color w:val="000000"/>
                <w:szCs w:val="24"/>
                <w:lang w:val="ru-RU"/>
              </w:rPr>
              <w:t>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 </w:t>
            </w:r>
            <w:r>
              <w:rPr>
                <w:color w:val="000000"/>
                <w:szCs w:val="24"/>
                <w:lang w:val="ru-RU"/>
              </w:rPr>
              <w:t>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lang w:val="ru-RU"/>
              </w:rPr>
              <w:t>год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 </w:t>
            </w:r>
            <w:r>
              <w:rPr>
                <w:color w:val="000000"/>
                <w:szCs w:val="24"/>
                <w:lang w:val="ru-RU"/>
              </w:rPr>
              <w:t>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Срок годности для рассасывающихся нитей составляет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  <w:lang w:val="ru-RU"/>
              </w:rPr>
              <w:t>год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 </w:t>
            </w:r>
            <w:r>
              <w:rPr>
                <w:color w:val="000000"/>
                <w:szCs w:val="24"/>
                <w:lang w:val="ru-RU"/>
              </w:rPr>
              <w:t>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Хранить нити всех типов следует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 комнатной температуре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при температуре не выше 15 градусов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 темном прохладном помещении сс температурой не выше 15 градусов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 провертивамом светллом помещении при температурре не ниже 25 градусов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 xml:space="preserve">о степени изгиба игла прямая имеет обозначение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 xml:space="preserve">о степени изгиба  игла прямая с изогнутым концом я имеет обозначение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 xml:space="preserve">о степени изгиба   игла, изогнутая на 2/8 окружности  я имеет обозначение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>о степени изгиба  игла, изогнутая на 3/8 окружности    имеет обозначение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349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>о степени изгиба   игла, изогнутая на 4/8 окружности    имеет обозначение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>о степени изгиба   игла, изогнутая на 5/8 окружности    имеет обозначение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Изготовляются иглы из проволоки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углеродистой стали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меди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железа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чугуна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Стерилизуют прокалывающие иглы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суховоздушным методом при температуре 180 С в течение 45 мин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путем кипячения в дистиллированной воде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стерилизация парами перекиси водорода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стерилизация 100% окисью этилена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Стерильные атравматические иглы с шовным материалом упаковываются в индивидуальную потребительскую упаковку. срок их стерильности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2 года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1 год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6 месяцев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3 года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На транспортную тару с атравматическимми иглами наносят манипуляционные знаки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"Боится сырости"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"Беречь от солнечных лучей"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"Беречь от излучения"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"Ограничение температуры"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Миопия</w:t>
            </w:r>
            <w:r>
              <w:rPr>
                <w:color w:val="000000"/>
                <w:szCs w:val="24"/>
                <w:lang w:val="ru-RU"/>
              </w:rPr>
              <w:t>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нарушение зрения, при котором человек хорошо видит предметы, расположенные на близком расстоянии, и плохо – предметы, удаленные от него.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патология рефракции глаза, при которой изображение предметов формируется </w:t>
            </w:r>
            <w:r>
              <w:rPr>
                <w:i/>
                <w:iCs/>
                <w:color w:val="000000"/>
                <w:szCs w:val="24"/>
                <w:lang w:val="ru-RU"/>
              </w:rPr>
              <w:t>за сетчаткой</w:t>
            </w:r>
            <w:r>
              <w:rPr>
                <w:color w:val="000000"/>
                <w:szCs w:val="24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аномалия рефракции глаза, при которой в одном и том же глазу наблюдается разная рефракция или различная степень одной и той же рефракции.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неодинаковая рефракция обоих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Анизометропия –</w:t>
            </w:r>
            <w:r>
              <w:rPr>
                <w:color w:val="000000"/>
                <w:szCs w:val="24"/>
                <w:lang w:val="ru-RU"/>
              </w:rPr>
              <w:t>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неодинаковая рефракция обоих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нарушение зрения, при котором человек хорошо видит предметы, расположенные на близком расстоянии, и плохо – предметы, удаленные от него.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патология рефракции глаза, при которой изображение предметов формируется </w:t>
            </w:r>
            <w:r>
              <w:rPr>
                <w:i/>
                <w:iCs/>
                <w:color w:val="000000"/>
                <w:szCs w:val="24"/>
                <w:lang w:val="ru-RU"/>
              </w:rPr>
              <w:t>за сетчаткой</w:t>
            </w:r>
            <w:r>
              <w:rPr>
                <w:color w:val="000000"/>
                <w:szCs w:val="24"/>
                <w:lang w:val="ru-RU"/>
              </w:rPr>
              <w:t>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аномалия рефракции глаза, при которой в одном и том же глазу наблюдается разная рефракция или различная степень одной и той же рефракции.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Гиперметропия</w:t>
            </w:r>
            <w:r>
              <w:rPr>
                <w:color w:val="000000"/>
                <w:szCs w:val="24"/>
                <w:lang w:val="ru-RU"/>
              </w:rPr>
              <w:t>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патология рефракции глаза, при которой изображение предметов формируется </w:t>
            </w:r>
            <w:r>
              <w:rPr>
                <w:i/>
                <w:iCs/>
                <w:color w:val="000000"/>
                <w:szCs w:val="24"/>
                <w:lang w:val="ru-RU"/>
              </w:rPr>
              <w:t>за сетчаткой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неодинаковая рефракция обоих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нарушение зрения, при котором человек хорошо видит предметы, расположенные на близком расстоянии, и плохо – предметы, удаленные от него.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аномалия рефракции глаза, при которой в одном и том же глазу наблюдается разная рефракция или различная степень одной и той же рефракции.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Анизейкония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состояние, при котором существует разница ввосприятии величины изображения правого и левого глаза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неодинаковая рефракция обоих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нарушение зрения, при котором человек хорошо видит предметы, расположенные на близком расстоянии, и плохо – предметы, удаленные от него.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аномалия рефракции глаза, при которой в одном и том же глазу наблюдается разная рефракция или различная степень одной и той же рефракции.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359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Астигматизм-это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аномалия рефракции глаза, при которой в одном и том же глазу наблюдается разная рефракция или различная степень одной и той же рефракции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состояние, при котором существует разница ввосприятии величины изображения правого и левого глаза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неодинаковая рефракция обоих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нарушение зрения, при котором человек хорошо видит предметы, расположенные на близком расстоянии, и плохо – предметы, удаленные от него.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Таблицы предназначены для исследования остроты зрения с расстояния 5 м, содержат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12 рядов знаков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16 рядов знаков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8 рядов знаков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10 рядов знаков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Авторефрактометр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для определения рефракции глаз и проведения коррекции зрения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прибор для  определения  рефракции  и  оси астигматизма, величина </w:t>
            </w:r>
            <w:r>
              <w:rPr>
                <w:color w:val="000000"/>
                <w:w w:val="94"/>
                <w:szCs w:val="24"/>
                <w:lang w:val="ru-RU"/>
              </w:rPr>
              <w:t xml:space="preserve">которого равна  разности  рефракций  в двух взаимно </w:t>
            </w:r>
            <w:r>
              <w:rPr>
                <w:color w:val="000000"/>
                <w:w w:val="99"/>
                <w:szCs w:val="24"/>
                <w:lang w:val="ru-RU"/>
              </w:rPr>
              <w:t>перпендикулярных меридианах (главных сечениях)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 для определения   радиуса   кривизны   и   рефракции передней поверхности роговицы глаза, величины и вида роговичного астигматизма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   для диагностики и лечения косоглазия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Ретиноскоп -это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прибор для  определения  рефракции  и  оси астигматизма, величина </w:t>
            </w:r>
            <w:r>
              <w:rPr>
                <w:color w:val="000000"/>
                <w:w w:val="94"/>
                <w:szCs w:val="24"/>
                <w:lang w:val="ru-RU"/>
              </w:rPr>
              <w:t xml:space="preserve">которого равна  разности  рефракций  в двух взаимно </w:t>
            </w:r>
            <w:r>
              <w:rPr>
                <w:color w:val="000000"/>
                <w:w w:val="99"/>
                <w:szCs w:val="24"/>
                <w:lang w:val="ru-RU"/>
              </w:rPr>
              <w:t>перпендикулярных меридианах (главных сечениях)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   для диагностики и лечения косоглазия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для определения рефракции глаз и проведения коррекции зрения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 для определения   радиуса   кривизны   и   рефракции передней поверхности роговицы глаза, величины и вида роговичного астигматизма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Офтальмометр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 для определения   радиуса   кривизны   и   рефракции передней поверхности роговицы глаза, величины и вида роговичного астигматизма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прибор для  определения  рефракции  и  оси астигматизма, величина </w:t>
            </w:r>
            <w:r>
              <w:rPr>
                <w:color w:val="000000"/>
                <w:w w:val="94"/>
                <w:szCs w:val="24"/>
                <w:lang w:val="ru-RU"/>
              </w:rPr>
              <w:t xml:space="preserve">которого равна  разности  рефракций  в двух взаимно </w:t>
            </w:r>
            <w:r>
              <w:rPr>
                <w:color w:val="000000"/>
                <w:w w:val="99"/>
                <w:szCs w:val="24"/>
                <w:lang w:val="ru-RU"/>
              </w:rPr>
              <w:t>перпендикулярных меридианах (главных сечениях)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   для диагностики и лечения косоглазия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для определения рефракции глаз и проведения коррекции зрения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Синоптофор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   для диагностики и лечения косоглазия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для определения рефракции глаз и проведения коррекции зрения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 для определения   радиуса   кривизны   и   рефракции передней поверхности роговицы глаза, величины и вида роговичного астигматизма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прибор для  определения  рефракции  и  оси астигматизма, величина </w:t>
            </w:r>
            <w:r>
              <w:rPr>
                <w:color w:val="000000"/>
                <w:w w:val="94"/>
                <w:szCs w:val="24"/>
                <w:lang w:val="ru-RU"/>
              </w:rPr>
              <w:t xml:space="preserve">которого равна  разности  рефракций  в двух взаимно </w:t>
            </w:r>
            <w:r>
              <w:rPr>
                <w:color w:val="000000"/>
                <w:w w:val="99"/>
                <w:szCs w:val="24"/>
                <w:lang w:val="ru-RU"/>
              </w:rPr>
              <w:t>перпендикулярных меридианах (главных сечениях)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Периметр настольный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для определения границ поля зрения и выявления дефектов зрения внутри этих границ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  для лучшего рассмотрения  глаза,  а  также для   выполнения   мелких   и точных работ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 для  исследования глазного дна и объективного определения рефракции методом скиаскопии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полностью автоматизированный прибор для измерения внутриглазного давления (ВГД)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w w:val="98"/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Лупа бинокулярные налобные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предназначена   для лучшего рассмотрения  глаза,  а  также для   выполнения   мелких   и точных работ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предназначена  для  исследования глазного дна и объективного определения рефракции методом скиаскопии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полностью автоматизированный прибор для измерения внутриглазного давления (ВГД)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предназначена для определения границ поля зрения и выявления дефектов зрения внутри этих границ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 xml:space="preserve">Офтальмоскоп зеркальный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 для  исследования глазного дна и объективного определения рефракции методом скиаскопии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полностью автоматизированный прибор для измерения внутриглазного давления (ВГД)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 для определения границ поля зрения и выявления дефектов зрения внутри этих границ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предназначена   для лучшего рассмотрения  глаза,  а  также для   выполнения   мелких   и точных работ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Глазной тонометр в  комплект которого  входят 3 грузика (5,5; 7,5 и 10 г) и таблица расчетов, называется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 Шиотца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т</w:t>
            </w:r>
            <w:r>
              <w:rPr>
                <w:color w:val="000000"/>
                <w:szCs w:val="24"/>
              </w:rPr>
              <w:t>онометр Маклакова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т</w:t>
            </w:r>
            <w:r>
              <w:rPr>
                <w:color w:val="000000"/>
                <w:szCs w:val="24"/>
              </w:rPr>
              <w:t>онометр Филатова-Кальфа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т</w:t>
            </w:r>
            <w:r>
              <w:rPr>
                <w:color w:val="000000"/>
                <w:szCs w:val="24"/>
              </w:rPr>
              <w:t>аблица Т.А. Поляка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369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Тонометр, который состоит из четырех тонометров  массой 5; 7,5; 10 и 15 г, держателя-рукоятки, штемпельной подушечки, измерительной линейки и таблицы-диаграммы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 Филатова-Кальфа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 Шиотца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 Маклакова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 xml:space="preserve"> таблица Т.А. Поляка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Тонометр, который состоитиз двух грузиков по 10 г и таблицы-диаграммы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 Маклакова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таблица Т.А. Поляка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 Филатова-Кальфа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тонометр Шиотца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 xml:space="preserve">Линзы, служащие  для улучшения четкости видения предметов, находящихся на разных расстояниях от глаза называются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Бифокальные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Однофокальные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стигматические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Линзы,</w:t>
            </w:r>
            <w:r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имеющие нулевое оптическое</w:t>
            </w:r>
            <w:r>
              <w:rPr>
                <w:i/>
                <w:iCs/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действие в каждом меридианальном сечении, т.е. не фокусирующие изображение называются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а</w:t>
            </w:r>
            <w:r>
              <w:rPr>
                <w:color w:val="000000"/>
                <w:szCs w:val="24"/>
              </w:rPr>
              <w:t>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о</w:t>
            </w:r>
            <w:r>
              <w:rPr>
                <w:color w:val="000000"/>
                <w:szCs w:val="24"/>
              </w:rPr>
              <w:t>днофокальные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б</w:t>
            </w:r>
            <w:r>
              <w:rPr>
                <w:color w:val="000000"/>
                <w:szCs w:val="24"/>
              </w:rPr>
              <w:t>ифокальные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астигматические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Линзы предназначены обеспечить перемещение изображения на сетчатку при аномалиях рефракции, называются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о</w:t>
            </w:r>
            <w:r>
              <w:rPr>
                <w:color w:val="000000"/>
                <w:szCs w:val="24"/>
              </w:rPr>
              <w:t>днофокальные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а</w:t>
            </w:r>
            <w:r>
              <w:rPr>
                <w:color w:val="000000"/>
                <w:szCs w:val="24"/>
              </w:rPr>
              <w:t>фокальные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астигматические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стигматические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Диаметр инородных включений центральной зоны диаметром 30 мм в очковых линзах І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Диаметр инородных включений центральной зоны диаметром 30 мм в очковых линзах ІІ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Диаметр инородных включений краевой зоны в очковых линзах І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Диаметр инородных включений краевой зоны в очковых линзах ІІ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0,1-0,2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0,05-0,1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Количество инородных включений центральной зоны диаметром 30 мм в очковых линзах І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0,5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379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Количество инородных включений центральной зоны диаметром 30 мм в очковых линзах ІІ 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0,5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Количество инородных включений краевой зоны в очковых линзах І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0,5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Количество инородных включений краевой зоны в очковых линзах ІІ группы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4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w w:val="98"/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</w:rPr>
              <w:t>≤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Средний срок сохраняемости линз из полимерного материала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5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3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2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10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Средний срок сохраняемости линз  из неорганического стекла составляет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15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5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10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не менее 3 лет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Очки солнцезащитные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ношения с целью предохранения глаз от ярких солнечных лучей и требования к ним аналогичны требованиям к корригирующим очкам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для: снятия усталости глаз после интенсивного напряжения зрения; борьбы со спазмом аккомодации; для защиты от интенсивного солнечного света; частичного восстановления  остроты зрения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людей, которые проводят много времени перед монитором компьютера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повышения контрастности, улучшения зрительных реакций, уменьшения ослепления от света встречных фар при управлении ночью, защиты от ультрафиолетовых лучей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Очки для водителей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повышения контрастности, улучшения зрительных реакций, уменьшения ослепления от света встречных фар при управлении ночью, защиты от ультрафиолетовых лучей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ношения с целью предохранения глаз от ярких солнечных лучей и требования к ним аналогичны требованиям к корригирующим очкам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для: снятия усталости глаз после интенсивного напряжения зрения; борьбы со спазмом аккомодации; для защиты от интенсивного солнечного света; частичного восстановления  остроты зрения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людей, которые проводят много времени перед монитором компьютера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Компьютерные очки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людей, которые проводят много времени перед монитором компьютера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повышения контрастности, улучшения зрительных реакций, уменьшения ослепления от света встречных фар при управлении ночью, защиты от ультрафиолетовых лучей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 ношения с целью предохраненияглаз от ярких солнечных лучей и требования к ним аналогичны требованиям к корригирующим очкам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Cs w:val="24"/>
              </w:rPr>
              <w:t>предназначены для: снятия усталости глаз после интенсивного напряжения зрения; борьбы со спазмом аккомодации; для защиты от интенсивного солнечного света; частичного восстановления  остроты зрения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Что не  должно быть указано  в рецепте на очки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производитель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вид и оптическая сила линзы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положение оси линз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расстояние  между  оптическими  центрами  окулярных  линз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Запись  О. D., указываемое в рецепте на очки обозначает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правый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положительная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левый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оба глаза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389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Запись D. Р., указываемое в рецепте на очки обозначает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расстояние между центрами зрачков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ось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сферическая, стигматическая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сферическая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апись  O.S. , указываемое в рецепте на очки обозначает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левый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правый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ось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сферическая, стигматическая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Запись  О.U. , указываемое в рецепте на очки обозначает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оба глаза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правый глаз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ось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сферическая, стигматическая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Запись  Concave , указываемое в рецепте на очки обозначает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отрицательная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сферическая, стигматическая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афокальная (линза)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</w:rPr>
              <w:t>положительная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right"/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 какому списку наркотических и психологических веществ, оборот которых в РФ запрещен относиться д</w:t>
            </w:r>
            <w:r>
              <w:rPr>
                <w:color w:val="000000"/>
                <w:szCs w:val="24"/>
              </w:rPr>
              <w:t>иампромид</w:t>
            </w:r>
          </w:p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 какому списку наркотических и психологических веществ, оборот которых в РФ запрещен относиться эргометрин</w:t>
            </w:r>
          </w:p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К какому списку наркотических и психологических веществ, оборот которых в РФ запрещен относиться флудиазепам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список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 какому списку наркотических и психологических веществ, оборот которых в РФ запрещен относиться а</w:t>
            </w:r>
            <w:r>
              <w:rPr>
                <w:color w:val="000000"/>
                <w:szCs w:val="24"/>
              </w:rPr>
              <w:t>пробарбитал</w:t>
            </w:r>
          </w:p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список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 какому списку наркотических и психологических веществ, оборот которых в РФ запрещен относиться к</w:t>
            </w:r>
            <w:r>
              <w:rPr>
                <w:color w:val="000000"/>
                <w:szCs w:val="24"/>
              </w:rPr>
              <w:t>етамин</w:t>
            </w:r>
          </w:p>
        </w:tc>
      </w:tr>
      <w:tr w:rsidR="00A20D57">
        <w:trPr>
          <w:trHeight w:val="362"/>
        </w:trPr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список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 какому списку наркотических и психологических веществ, оборот которых в РФ запрещен относиться ф</w:t>
            </w:r>
            <w:r>
              <w:rPr>
                <w:color w:val="000000"/>
                <w:szCs w:val="24"/>
              </w:rPr>
              <w:t>ентанил</w:t>
            </w:r>
          </w:p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список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399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>К какому списку наркотических и психологических веществ, оборот которых в РФ запрещен относиться т</w:t>
            </w:r>
            <w:r>
              <w:rPr>
                <w:color w:val="000000"/>
                <w:szCs w:val="24"/>
              </w:rPr>
              <w:t>ебаин</w:t>
            </w:r>
          </w:p>
          <w:p w:rsidR="00A20D57" w:rsidRDefault="00A20D57">
            <w:pPr>
              <w:rPr>
                <w:color w:val="000000"/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список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К какому списку наркотических и психологических веществ, оборот которых в РФ запрещен относиться </w:t>
            </w:r>
            <w:r>
              <w:rPr>
                <w:color w:val="000000"/>
                <w:szCs w:val="24"/>
              </w:rPr>
              <w:t>идроксипетидин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1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список 2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список 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 прекурсорам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Способом определения качества грелки резиновой является 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  <w:r>
              <w:rPr>
                <w:color w:val="000000"/>
                <w:szCs w:val="24"/>
              </w:rPr>
              <w:t xml:space="preserve">ерметичность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время наполнения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твердость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эластичность.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Технологический процесс получения ИМН из латексов включает основные стадии, кроме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контроль качества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уплотнение геля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вулканизация готового изделия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мойка готового изделия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Препараты, ориентированные на резерв самого организма, называются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гомеопатическими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лекарственными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растительными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минеральные воды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Резиновые изделия, изготавливаемые формовым методом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пузыри для льда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перчатки резиновые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зонды и катетеры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жгуты кровоостанавливающие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Резиновые изделия, изготавливаемые шприцевым методом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трубки резиновые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спринцовки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соски молочные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пробки для флаконов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Метод макания используется при производстве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Резиновых перчаток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Грелок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Жгутов резиновых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Катетеров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Российская Федерация в составе штрихового кода на товарной упаковке обозначается цифрами:</w:t>
            </w:r>
            <w:r>
              <w:rPr>
                <w:color w:val="000000"/>
                <w:szCs w:val="24"/>
                <w:lang w:val="ru-RU"/>
              </w:rPr>
              <w:br/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460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545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360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900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Тонзиллотомы по назначению относят к классификационной группе медицинских инструментов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режущие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колющие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оттесняющие, ранорасширяющие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зондирующие, бужирующие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409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 какой классификационной группе медицинских инструментов относится зеркало двустворчатое по Куско?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акушерско-гинекологическим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ЛОР-инструментам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нейрохирургическим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общехирургическим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Медицинский инструмент для подачи стерильных инструментов, шовного и(или) перевязочного материала называется: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корнцанг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иглодержатель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щипцы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пинцет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br/>
            </w:r>
            <w:r>
              <w:rPr>
                <w:color w:val="000000"/>
                <w:szCs w:val="24"/>
              </w:rPr>
              <w:t xml:space="preserve">Какие манипуляционные свойства нити как шовного материала проверяют?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эластичность и гибкость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отсутствие «пилящего» эффекта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однородность поверхности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отсутствие «капиллярности»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Обязательными реквизитами рецептурного бланка на очки являются согласно ГОСТу все, кроме: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высота переносицы и длина заушника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фамилия, имя, отчество больного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назначение очков и параметры очковых линз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фамилия врача и дата выписки рецепта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Как защитить полимерные медицинские изделия от микробиологической коррозии в процессе хранения?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хранить при нормальной температуре воздуха, в сухих, проветриваемых, защищённых от света помещениях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хранить в прохладном, защищенном от света месте отдельно от резиновых изделий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хранить в прохладном месте, без особых требований к освещенности, не допускать сквозняков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хранить изолированно от лекарственных препаратов, парафармацевтических </w:t>
            </w:r>
            <w:hyperlink r:id="rId74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товаров и резиновых изделий</w:t>
              </w:r>
            </w:hyperlink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Назовите температурный режим, оптимальный для хранения резиновых изделий: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при температуре не ниже 0</w:t>
            </w:r>
            <w:r>
              <w:rPr>
                <w:color w:val="000000"/>
                <w:szCs w:val="24"/>
                <w:lang w:val="ru-RU"/>
              </w:rPr>
              <w:t>С и не выше 20</w:t>
            </w:r>
            <w:r>
              <w:rPr>
                <w:color w:val="000000"/>
                <w:szCs w:val="24"/>
                <w:lang w:val="ru-RU"/>
              </w:rPr>
              <w:t xml:space="preserve">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при температуре от 0 -11</w:t>
            </w:r>
            <w:r>
              <w:rPr>
                <w:color w:val="000000"/>
                <w:szCs w:val="24"/>
                <w:lang w:val="ru-RU"/>
              </w:rPr>
              <w:t xml:space="preserve">С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при температуре от 12-15</w:t>
            </w:r>
            <w:r>
              <w:rPr>
                <w:color w:val="000000"/>
                <w:szCs w:val="24"/>
                <w:lang w:val="ru-RU"/>
              </w:rPr>
              <w:t>С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температурный режим не имеет существенного значения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Товары детского питания промышленного производства в ассортименте аптек – это: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молочные смеси для вскармливания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витаминизированные препараты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биологические активные добавки к пище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соевые продукты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Медицинские пиявки хранят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светлом помещении без запаха лекарств при комнатной температуре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помещение должно быть темным и прохладным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освещение люминесцентными лампами, комнатная температура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  <w:lang w:val="ru-RU"/>
              </w:rPr>
              <w:t xml:space="preserve">помещение должно быть слегка затемненным, особых </w:t>
            </w:r>
            <w:hyperlink r:id="rId75">
              <w:r>
                <w:rPr>
                  <w:rStyle w:val="-"/>
                  <w:color w:val="000000"/>
                  <w:szCs w:val="24"/>
                  <w:u w:val="none"/>
                  <w:lang w:val="ru-RU"/>
                </w:rPr>
                <w:t>требований к температурным условиям нет</w:t>
              </w:r>
            </w:hyperlink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417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Пиявки должны содержаться в чистой воде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из расчета 3 л на 50 - 100 особей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из расчета 1 л на 50 - 100 особей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из расчета 3 л на 10 - 20 особей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из расчета 2 л на 100 - 200 особей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0418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Пиявки должны содержаться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 широкогорлых стеклянных сосудах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 узкогорлых стеклянных сосудах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 широкогорлых металлических сосудах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 узкогорлых глиняных сосудах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419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color w:val="000000"/>
                <w:szCs w:val="24"/>
                <w:shd w:val="clear" w:color="auto" w:fill="FFFFFF"/>
              </w:rPr>
              <w:t>еревязочным материал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ом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не </w:t>
            </w:r>
            <w:r>
              <w:rPr>
                <w:color w:val="000000"/>
                <w:szCs w:val="24"/>
                <w:shd w:val="clear" w:color="auto" w:fill="FFFFFF"/>
              </w:rPr>
              <w:t>явля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color w:val="000000"/>
                <w:szCs w:val="24"/>
                <w:shd w:val="clear" w:color="auto" w:fill="FFFFFF"/>
              </w:rPr>
              <w:t>тся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</w:t>
            </w:r>
            <w:r>
              <w:rPr>
                <w:color w:val="000000"/>
                <w:szCs w:val="24"/>
              </w:rPr>
              <w:t>еленк</w:t>
            </w:r>
            <w:r>
              <w:rPr>
                <w:color w:val="000000"/>
                <w:szCs w:val="24"/>
                <w:lang w:val="ru-RU"/>
              </w:rPr>
              <w:t>и</w:t>
            </w:r>
            <w:r>
              <w:rPr>
                <w:color w:val="000000"/>
                <w:szCs w:val="24"/>
              </w:rPr>
              <w:t xml:space="preserve"> абсорбирующ</w:t>
            </w:r>
            <w:r>
              <w:rPr>
                <w:color w:val="000000"/>
                <w:szCs w:val="24"/>
                <w:lang w:val="ru-RU"/>
              </w:rPr>
              <w:t>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марля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лигнин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pStyle w:val="txt"/>
              <w:shd w:val="clear" w:color="auto" w:fill="FFFFFF"/>
              <w:spacing w:before="0" w:after="0"/>
              <w:rPr>
                <w:color w:val="000000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420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Перевязочный материал  из рыхло переплетенных хлопковых волокон называется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медицинская вата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м</w:t>
            </w:r>
            <w:r>
              <w:rPr>
                <w:color w:val="000000"/>
              </w:rPr>
              <w:t>арля медицинская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</w:t>
            </w:r>
            <w:r>
              <w:rPr>
                <w:color w:val="000000"/>
              </w:rPr>
              <w:t>акеты перевязочные медицинские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алфетки сорбирующие углеродные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pStyle w:val="txt"/>
              <w:shd w:val="clear" w:color="auto" w:fill="FFFFFF"/>
              <w:spacing w:before="0" w:after="0"/>
              <w:rPr>
                <w:color w:val="000000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421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По физико-механическим показателям вата должна иметь  влажность: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 более 9 %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 более 15 %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 10 %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 12 %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pStyle w:val="txt"/>
              <w:shd w:val="clear" w:color="auto" w:fill="FFFFFF"/>
              <w:spacing w:before="0" w:after="0"/>
              <w:rPr>
                <w:color w:val="000000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422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По физико-механическим показателям вата должна иметь  упругость: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не менее 72 %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 менее </w:t>
            </w:r>
            <w:r>
              <w:rPr>
                <w:color w:val="000000"/>
                <w:szCs w:val="24"/>
                <w:lang w:val="ru-RU"/>
              </w:rPr>
              <w:t>50</w:t>
            </w:r>
            <w:r>
              <w:rPr>
                <w:color w:val="000000"/>
                <w:szCs w:val="24"/>
              </w:rPr>
              <w:t xml:space="preserve">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 менее </w:t>
            </w:r>
            <w:r>
              <w:rPr>
                <w:color w:val="000000"/>
                <w:szCs w:val="24"/>
                <w:lang w:val="ru-RU"/>
              </w:rPr>
              <w:t>80</w:t>
            </w:r>
            <w:r>
              <w:rPr>
                <w:color w:val="000000"/>
                <w:szCs w:val="24"/>
              </w:rPr>
              <w:t xml:space="preserve">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 менее </w:t>
            </w:r>
            <w:r>
              <w:rPr>
                <w:color w:val="000000"/>
                <w:szCs w:val="24"/>
                <w:lang w:val="ru-RU"/>
              </w:rPr>
              <w:t>95</w:t>
            </w:r>
            <w:r>
              <w:rPr>
                <w:color w:val="000000"/>
                <w:szCs w:val="24"/>
              </w:rPr>
              <w:t xml:space="preserve"> 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pStyle w:val="txt"/>
              <w:shd w:val="clear" w:color="auto" w:fill="FFFFFF"/>
              <w:spacing w:before="0" w:after="0"/>
              <w:rPr>
                <w:color w:val="000000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423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По физико-механическим показателям вата должна иметь  объемную массу: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21 кг/м3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 более </w:t>
            </w:r>
            <w:r>
              <w:rPr>
                <w:color w:val="000000"/>
                <w:szCs w:val="24"/>
                <w:lang w:val="ru-RU"/>
              </w:rPr>
              <w:t>10</w:t>
            </w:r>
            <w:r>
              <w:rPr>
                <w:color w:val="000000"/>
                <w:szCs w:val="24"/>
              </w:rPr>
              <w:t xml:space="preserve"> кг/м3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 более </w:t>
            </w:r>
            <w:r>
              <w:rPr>
                <w:color w:val="000000"/>
                <w:szCs w:val="24"/>
                <w:lang w:val="ru-RU"/>
              </w:rPr>
              <w:t>15</w:t>
            </w:r>
            <w:r>
              <w:rPr>
                <w:color w:val="000000"/>
                <w:szCs w:val="24"/>
              </w:rPr>
              <w:t xml:space="preserve"> кг/м3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 более </w:t>
            </w:r>
            <w:r>
              <w:rPr>
                <w:color w:val="000000"/>
                <w:szCs w:val="24"/>
                <w:lang w:val="ru-RU"/>
              </w:rPr>
              <w:t>31</w:t>
            </w:r>
            <w:r>
              <w:rPr>
                <w:color w:val="000000"/>
                <w:szCs w:val="24"/>
              </w:rPr>
              <w:t xml:space="preserve"> кг/м3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pStyle w:val="txt"/>
              <w:shd w:val="clear" w:color="auto" w:fill="FFFFFF"/>
              <w:spacing w:before="0" w:after="0"/>
              <w:rPr>
                <w:color w:val="000000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424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Доля вискозного штапельного волокна в смеси ваты хирургической не должна превышать 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30%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20%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10%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15%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pStyle w:val="txt"/>
              <w:shd w:val="clear" w:color="auto" w:fill="FFFFFF"/>
              <w:spacing w:before="0" w:after="0"/>
              <w:rPr>
                <w:color w:val="000000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425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По физико-механическим и химическим показателям медицинская гигроскопическая глазная вата должна иметь засоренность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 более</w:t>
            </w:r>
            <w:r>
              <w:rPr>
                <w:color w:val="000000"/>
              </w:rPr>
              <w:t xml:space="preserve"> 0,1</w:t>
            </w:r>
            <w:r>
              <w:rPr>
                <w:color w:val="000000"/>
                <w:lang w:val="ru-RU"/>
              </w:rPr>
              <w:t>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2%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3%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5%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pStyle w:val="txt"/>
              <w:shd w:val="clear" w:color="auto" w:fill="FFFFFF"/>
              <w:spacing w:before="0" w:after="0"/>
              <w:rPr>
                <w:color w:val="000000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426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txt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По физико-механическим и химическим показателям медицинская гигроскопическая хлопковая вата должна иметь засоренность</w:t>
            </w:r>
          </w:p>
        </w:tc>
      </w:tr>
      <w:tr w:rsidR="00A20D57"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3%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5%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0,1</w:t>
            </w:r>
            <w:r>
              <w:rPr>
                <w:color w:val="000000"/>
                <w:szCs w:val="24"/>
                <w:lang w:val="ru-RU"/>
              </w:rPr>
              <w:t>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7%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хлопко- вискозная вата должна иметь засоренность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3%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5%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0,1</w:t>
            </w:r>
            <w:r>
              <w:rPr>
                <w:color w:val="000000"/>
                <w:szCs w:val="24"/>
                <w:lang w:val="ru-RU"/>
              </w:rPr>
              <w:t>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7%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гигиеническая  вата должна иметь засоренность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7%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5%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0,1</w:t>
            </w:r>
            <w:r>
              <w:rPr>
                <w:color w:val="000000"/>
                <w:szCs w:val="24"/>
                <w:lang w:val="ru-RU"/>
              </w:rPr>
              <w:t>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более</w:t>
            </w:r>
            <w:r>
              <w:rPr>
                <w:color w:val="000000"/>
                <w:szCs w:val="24"/>
              </w:rPr>
              <w:t xml:space="preserve"> 0,</w:t>
            </w:r>
            <w:r>
              <w:rPr>
                <w:color w:val="000000"/>
                <w:szCs w:val="24"/>
                <w:lang w:val="ru-RU"/>
              </w:rPr>
              <w:t>3%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429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Срок хранения стерильности ваты составляет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5 лет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3 года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менее 1 года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не менее 10 лет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глазная вата должна иметь поглотительную способность, г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31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431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хлопковая вата должна иметь поглотительную способность, г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21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432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хлопко- вискозная вата должна иметь поглотительную способность, г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21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433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гигиеническая вата должна иметь поглотительную способность, г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23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24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глазная вата должна иметь  капиллярность, мм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80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70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67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435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хлопковая вата должна иметь  капиллярность, мм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70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75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68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65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436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хлопко- вискозная вата должна иметь  капиллярность, мм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70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75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68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65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гигиеническая вата должна иметь  капиллярность, мм (не менее)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67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72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75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68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глазная вата должна иметь  влажность,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439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хлопковая вата должна иметь  влажность,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9,2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хлопко-вискозная вата должна иметь  влажность,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9,2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8,5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9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441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гигиеническая вата должна иметь  влажность,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8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8,5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9,2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442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глазная вата должна иметь  зольность,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0,5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443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хлопковая вата должна иметь  зольность,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0,5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0,2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хлопко-вискозная вата должна иметь  зольность,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0,5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0,2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445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По физико-механическим и химическим показателям медицинская гигроскопическая гигиеническая вата должна иметь  зольность, % (не более)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0,5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446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Хлопчатобумажная марля смачивается в течение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10 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20 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30 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25 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Марля с примесью вискозы смачивается в течение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60 </w:t>
            </w:r>
            <w:r>
              <w:rPr>
                <w:color w:val="000000"/>
                <w:szCs w:val="24"/>
                <w:lang w:val="ru-RU"/>
              </w:rPr>
              <w:t>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45 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30 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35 секунд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Капиллярность </w:t>
            </w:r>
            <w:r>
              <w:rPr>
                <w:color w:val="000000"/>
                <w:szCs w:val="24"/>
                <w:lang w:val="ru-RU"/>
              </w:rPr>
              <w:t xml:space="preserve">хлопчатобумажной </w:t>
            </w:r>
            <w:r>
              <w:rPr>
                <w:color w:val="000000"/>
                <w:szCs w:val="24"/>
              </w:rPr>
              <w:t xml:space="preserve"> марли</w:t>
            </w:r>
            <w:r>
              <w:rPr>
                <w:color w:val="000000"/>
                <w:szCs w:val="24"/>
                <w:lang w:val="ru-RU"/>
              </w:rPr>
              <w:t xml:space="preserve"> составляет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10-12 см/ч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15-20 </w:t>
            </w:r>
            <w:r>
              <w:rPr>
                <w:color w:val="000000"/>
                <w:szCs w:val="24"/>
              </w:rPr>
              <w:t>см/ч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8-10 </w:t>
            </w:r>
            <w:r>
              <w:rPr>
                <w:color w:val="000000"/>
                <w:szCs w:val="24"/>
              </w:rPr>
              <w:t>см/ч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 xml:space="preserve">5-8 </w:t>
            </w:r>
            <w:r>
              <w:rPr>
                <w:color w:val="000000"/>
                <w:szCs w:val="24"/>
              </w:rPr>
              <w:t>см/ч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449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марле не допускаются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дыры по фону марли размеров более 5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дыры по фону марли размеров более 7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дыры по фону марли размеров более 3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дыры по фону марли размеров более 2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марле не допуска</w:t>
            </w:r>
            <w:r>
              <w:rPr>
                <w:color w:val="000000"/>
                <w:szCs w:val="24"/>
                <w:lang w:val="ru-RU"/>
              </w:rPr>
              <w:t>е</w:t>
            </w:r>
            <w:r>
              <w:rPr>
                <w:color w:val="000000"/>
                <w:szCs w:val="24"/>
              </w:rPr>
              <w:t>тся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стянутая кромка более 1 м по длине ткани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стянутая кромка более 0,5 м по длине ткани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стянутая кромка более 0,3 м по длине ткани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стянутая кромка более 0,8 м по длине ткани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451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В марле не допуска</w:t>
            </w:r>
            <w:r>
              <w:rPr>
                <w:szCs w:val="24"/>
                <w:lang w:val="ru-RU"/>
              </w:rPr>
              <w:t>е</w:t>
            </w:r>
            <w:r>
              <w:rPr>
                <w:szCs w:val="24"/>
              </w:rPr>
              <w:t>тся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бахрома на кромке более 1,5 см с одной стороны и более 2 см – с другой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бахрома на кромке более 1,5 см с одной стороны и более 1,5 см – с другой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бахрома на кромке более 2 см с одной стороны и более 2 см – с другой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бахрома на кромке более 2,5 см с одной стороны и более 2,5 см – с другой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452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Сколько впитывает 1 г лигнина марки А за 5 мин?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12 г воды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0</w:t>
            </w:r>
            <w:r>
              <w:rPr>
                <w:szCs w:val="24"/>
              </w:rPr>
              <w:t xml:space="preserve"> г воды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5</w:t>
            </w:r>
            <w:r>
              <w:rPr>
                <w:szCs w:val="24"/>
              </w:rPr>
              <w:t xml:space="preserve"> г воды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25</w:t>
            </w:r>
            <w:r>
              <w:rPr>
                <w:szCs w:val="24"/>
              </w:rPr>
              <w:t xml:space="preserve"> г воды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453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Лигнин выпускается отдельными листами шириной 60-80 см и длиной 1,5-2 м, укладываемых в пачки по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5 кг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10 кг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15 кг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20 кг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Марля кровоостанавливающая получается путем обработки обычной марли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окислами азота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 автоклаве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кальциев</w:t>
            </w:r>
            <w:r>
              <w:rPr>
                <w:szCs w:val="24"/>
                <w:lang w:val="ru-RU"/>
              </w:rPr>
              <w:t>ой</w:t>
            </w:r>
            <w:r>
              <w:rPr>
                <w:szCs w:val="24"/>
              </w:rPr>
              <w:t xml:space="preserve"> соль</w:t>
            </w:r>
            <w:r>
              <w:rPr>
                <w:szCs w:val="24"/>
                <w:lang w:val="ru-RU"/>
              </w:rPr>
              <w:t>ю</w:t>
            </w:r>
            <w:r>
              <w:rPr>
                <w:szCs w:val="24"/>
              </w:rPr>
              <w:t xml:space="preserve"> акриловой кислоты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путем кипячения солевом растворе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455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Ватно-марлевые подушечки №1 имеют размеры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29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25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16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10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456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Ватно-марлевые подушечки №2 имеют размеры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25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29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16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10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Ватно-марлевые подушечки №3 имеют размеры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16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29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25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10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Ватно-марлевые подушечки №5 имеют размеры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10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16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29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>
              <w:rPr>
                <w:rFonts w:eastAsia="Symbol" w:cs="Symbol"/>
                <w:szCs w:val="24"/>
              </w:rPr>
              <w:t></w:t>
            </w:r>
            <w:r>
              <w:rPr>
                <w:szCs w:val="24"/>
              </w:rPr>
              <w:t xml:space="preserve"> 25 см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Шприцы медицинские инъекционные многократного применения для туберкулина имеют обозначение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без пометки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Срок хранения шприцов медицинских в ненарушенных упаковках составляет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до 5 лет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 xml:space="preserve"> лет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 xml:space="preserve"> года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 xml:space="preserve"> лет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461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Трубчатые иглы для введения жидкостей под кожу, в мышцу или в вену называются 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инъекционные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пункционно-биопсийные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инфузионно-трансфузионные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иглы для рентгеноконтрастных исследований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462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Трубчатые иглы для прокола ткани организма с последующим введением или выведением частиц ткани или жидкости для исследования в целях диагностики называются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пункционно-биопсийные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инфузионно-трансфузионные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иглы для рентгеноконтрастных исследований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инъекционные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463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Трубчатые иглы для длительного вливания жидкостей и взятия крови называются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инфузионно-трансфузионные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инъекционные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пункционно-биопсийные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иглы для рентгеноконтрастных исследований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соблюдении надлежащих условий содержания, пиявки могут  жить и сохранять свои лечебные свойства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1,5-2 лет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до 1-2 месяцев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 3 до 6 месяцев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 6 месяцев до 1 года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465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Смену воды пиявкам производ</w:t>
            </w:r>
            <w:r>
              <w:rPr>
                <w:color w:val="000000"/>
                <w:sz w:val="24"/>
                <w:lang w:val="ru-RU"/>
              </w:rPr>
              <w:t>ят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один раз в три дня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каждый день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один раз в неделю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один раз в месяц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466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Срок, который пиявки </w:t>
            </w:r>
            <w:r>
              <w:rPr>
                <w:color w:val="000000"/>
                <w:szCs w:val="24"/>
                <w:lang w:val="ru-RU"/>
              </w:rPr>
              <w:t>могут жить без приема пищи составляет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1,5-2 лет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до 1-2 месяцев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 3 до 6 месяцев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 6 месяцев до 1 года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лишнее в алгоритме содержания пиявок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кормление пиявок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смена воды в которой содержатся пиявки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перебор пиявок с целью отделения мертвых и заболевших особей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мытье рук с мылом без запаха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Температура хранения пиявок составляет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+8 до +20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 +5 до + 10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от +15 до + 25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 + 20 до + 30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469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Сосуд с пиявками должен быть накрыт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бязевой салфеткой, обвяза</w:t>
            </w:r>
            <w:r>
              <w:rPr>
                <w:color w:val="000000"/>
                <w:sz w:val="24"/>
                <w:lang w:val="ru-RU"/>
              </w:rPr>
              <w:t>ной</w:t>
            </w:r>
            <w:r>
              <w:rPr>
                <w:color w:val="000000"/>
                <w:sz w:val="24"/>
              </w:rPr>
              <w:t xml:space="preserve"> резинкой или шпагатом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металлической крышкой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марлей</w:t>
            </w:r>
            <w:r>
              <w:rPr>
                <w:color w:val="000000"/>
                <w:sz w:val="24"/>
              </w:rPr>
              <w:t>, обвяза</w:t>
            </w:r>
            <w:r>
              <w:rPr>
                <w:color w:val="000000"/>
                <w:sz w:val="24"/>
                <w:lang w:val="ru-RU"/>
              </w:rPr>
              <w:t>ной</w:t>
            </w:r>
            <w:r>
              <w:rPr>
                <w:color w:val="000000"/>
                <w:sz w:val="24"/>
              </w:rPr>
              <w:t xml:space="preserve"> резинкой или шпагатом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пластиковой крышкой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Отпуск пиявок населению и лечебным учреждениям производится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чистую посуду, заполненную менее половины ее емкости отстоянной водой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посуду, </w:t>
            </w:r>
            <w:r>
              <w:rPr>
                <w:color w:val="000000"/>
                <w:sz w:val="24"/>
                <w:lang w:val="ru-RU"/>
              </w:rPr>
              <w:t xml:space="preserve">полностью </w:t>
            </w:r>
            <w:r>
              <w:rPr>
                <w:color w:val="000000"/>
                <w:sz w:val="24"/>
              </w:rPr>
              <w:t>заполненную  водой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pStyle w:val="a8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чистую посуду, </w:t>
            </w:r>
            <w:r>
              <w:rPr>
                <w:color w:val="000000"/>
                <w:sz w:val="24"/>
                <w:lang w:val="ru-RU"/>
              </w:rPr>
              <w:t xml:space="preserve">полностью </w:t>
            </w:r>
            <w:r>
              <w:rPr>
                <w:color w:val="000000"/>
                <w:sz w:val="24"/>
              </w:rPr>
              <w:t>заполненную дистиллированной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 водой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емкость с торфом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471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bookmarkStart w:id="4" w:name="Какими_из_перечисленных_методов_можно_оп"/>
            <w:bookmarkEnd w:id="4"/>
            <w:r>
              <w:rPr>
                <w:color w:val="000000"/>
                <w:szCs w:val="24"/>
              </w:rPr>
              <w:t>Какими из перечисленных методов можно определить текущую и перспективную потребность для препаратов, объемы потребления которых установлены нормативно-правовыми актами?</w:t>
            </w:r>
            <w:r>
              <w:rPr>
                <w:szCs w:val="24"/>
              </w:rPr>
              <w:t xml:space="preserve"> </w:t>
            </w:r>
          </w:p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нормативный метод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метод моделирования и экстраполяции, экспертных оценок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АВС-анализ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метод квартальных индексов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472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При расчёте потребности аптечной организации в сахароснижающих лекарственных препаратах для отпуска больным сахарным диабетом в процессе оказания первичной медико-санитарной помощи необходимо учитывать все, кроме: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число коек в соответствующем стационарном отделении медицинской организации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расход препарата на курс лечения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численность больных с данной патологией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численность медицинских организаций в микрорайоне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473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Емкость рынка определяется: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объемом реализованного за определенный период товара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количеством наименований в товарной номенклатуре аптеки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стоимостью всех товаров, находящихся в аптеке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величиной неудовлетворенного платежеспособного спроса на данный товар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Группа </w:t>
            </w:r>
            <w:hyperlink r:id="rId76">
              <w:r>
                <w:rPr>
                  <w:rStyle w:val="-"/>
                  <w:color w:val="000000"/>
                  <w:szCs w:val="24"/>
                  <w:u w:val="none"/>
                </w:rPr>
                <w:t>потребителей продукции</w:t>
              </w:r>
            </w:hyperlink>
            <w:r>
              <w:rPr>
                <w:color w:val="000000"/>
                <w:szCs w:val="24"/>
              </w:rPr>
              <w:t>, предъявляющих однородные требования к товару, одинаково реагирующие на рекламу, имеющая одинаковые потребительские предпочтения, называется в маркетинге:</w:t>
            </w:r>
            <w:r>
              <w:rPr>
                <w:szCs w:val="24"/>
              </w:rPr>
              <w:br/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сегмент рынка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жизненный цикл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устойчивость рынка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конъюнктура рынка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475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Определите отпускную цену организации розничной торговли на препарат </w:t>
            </w:r>
            <w:r>
              <w:rPr>
                <w:color w:val="000000"/>
                <w:szCs w:val="24"/>
                <w:lang w:val="ru-RU"/>
              </w:rPr>
              <w:t>Инсулин гларгин, зарегистрированная отпускная цена производителя 546,42 рублей, если о</w:t>
            </w:r>
            <w:r>
              <w:rPr>
                <w:color w:val="111111"/>
                <w:szCs w:val="24"/>
              </w:rPr>
              <w:t>рганизация розничной торговли, находящаяся на общей системе налогообложения приобретает ЖНВЛП у оптовой организации, находящейся на общей системе налогообложения, и применившей предельный размер оптовой надбавки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-11,75% и розничной надбавки до 50 рублей включительно 24,6 %, свыше 50 руб. до 500 руб. включительно 24,9%, свыше 500 руб. -24,3 %)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822,86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882,96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809,25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802,69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476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Определите отпускную цену организации розничной торговли на препарат к</w:t>
            </w:r>
            <w:r>
              <w:rPr>
                <w:color w:val="000000"/>
                <w:szCs w:val="24"/>
                <w:lang w:val="ru-RU"/>
              </w:rPr>
              <w:t>алия йодид , зарегистрированная отпускная цена производителя 95,72 рублей, если о</w:t>
            </w:r>
            <w:r>
              <w:rPr>
                <w:color w:val="111111"/>
                <w:szCs w:val="24"/>
              </w:rPr>
              <w:t>рганизация розничной торговли, находящаяся на общей системе налогообложения приобретает ЖНВЛП у оптовой организации, находящейся на УСН или являющейся плательщиком ЕНВД, и применившей предельный размер оптовой надбавки в размере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-11,75% и розничной надбавки до 50 рублей включительно 24,6 %, свыше 50 руб. до 500 руб. включительно 24,9%, свыше 500 руб. -24,3 %)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154,67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144,47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141,76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140,61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Определите отпускную цену организации розничной торговли на препарат г</w:t>
            </w:r>
            <w:r>
              <w:rPr>
                <w:color w:val="000000"/>
                <w:szCs w:val="24"/>
                <w:lang w:val="ru-RU"/>
              </w:rPr>
              <w:t>люкагон , зарегистрированная отпускная цена производителя 594,81 рублей, если о</w:t>
            </w:r>
            <w:r>
              <w:rPr>
                <w:color w:val="111111"/>
                <w:szCs w:val="24"/>
              </w:rPr>
              <w:t>рганизация розничной торговли, находящаяся на УСН или являющаяся плательщиком ЕНВД, приобретает ЖНВЛП у оптовой организации, находящейся на общей системе налогообложения и применившей предельный размер оптовой надбавки  в размере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составляет 11,75% и розничной надбавки до 50 рублей включительно 24,6 %, свыше 50 руб. до 500 руб. включительно 24,9%, свыше 500 руб. составляет 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875,71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868,72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890,16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955,59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szCs w:val="24"/>
                <w:lang w:val="ru-RU"/>
              </w:rPr>
              <w:t>Определите отпускную цену организации розничной торговли на препарат к</w:t>
            </w:r>
            <w:r>
              <w:rPr>
                <w:color w:val="000000"/>
                <w:szCs w:val="24"/>
                <w:lang w:val="ru-RU"/>
              </w:rPr>
              <w:t>альцитонин  , зарегистрированная отпускная цена производителя 594,81 рублей, если о</w:t>
            </w:r>
            <w:r>
              <w:rPr>
                <w:color w:val="111111"/>
                <w:szCs w:val="24"/>
              </w:rPr>
              <w:t xml:space="preserve">рганизация  розничной торговли, находящаяся на УСН или являющаяся плательщиком ЕНВД, приобретает ЖНВЛП у </w:t>
            </w:r>
            <w:r>
              <w:rPr>
                <w:rStyle w:val="a5"/>
                <w:b w:val="0"/>
                <w:bCs w:val="0"/>
                <w:color w:val="111111"/>
                <w:szCs w:val="24"/>
              </w:rPr>
              <w:t xml:space="preserve">оптовой организации, находящейся на УСН или являющейся плательщиком ЕНВД, и применившей предельный размер оптовой надбавки </w:t>
            </w:r>
            <w:r>
              <w:rPr>
                <w:color w:val="111111"/>
                <w:szCs w:val="24"/>
              </w:rPr>
              <w:t xml:space="preserve">  в размере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составляет 11,75% и розничной надбавки до 50 рублей включительно 24,6 %, свыше 50 руб. до 500 руб. включительно 24,9%, свыше 500 руб. составляет 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1283,13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1293,45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1411,44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1314,8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479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Определите отпускную цену организации розничной торговли на препарат а</w:t>
            </w:r>
            <w:r>
              <w:rPr>
                <w:color w:val="000000"/>
                <w:szCs w:val="24"/>
                <w:lang w:val="ru-RU"/>
              </w:rPr>
              <w:t>мпициллин, зарегистрированная отпускная цена производителя 399,13 рублей, если о</w:t>
            </w:r>
            <w:r>
              <w:rPr>
                <w:color w:val="111111"/>
                <w:szCs w:val="24"/>
              </w:rPr>
              <w:t>рганизация розничной торговли, находящаяся на общей системе налогообложения приобретает ЖНВЛП у оптовой организации, находящейся на общей системе налогообложения, и применившей предельный размер оптовой надбавки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-11,75% и розничной надбавки до 50 рублей включительно 24,6 %, свыше 50 руб. до 500 руб. включительно 24,9%, свыше 500 руб. -24,3 %)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601,25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645,15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591,29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586,5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Определите отпускную цену организации розничной торговли на препарат р</w:t>
            </w:r>
            <w:r>
              <w:rPr>
                <w:color w:val="000000"/>
                <w:szCs w:val="24"/>
                <w:lang w:val="ru-RU"/>
              </w:rPr>
              <w:t>ибавирин, зарегистрированная отпускная цена производителя 780 рублей, если о</w:t>
            </w:r>
            <w:r>
              <w:rPr>
                <w:color w:val="111111"/>
                <w:szCs w:val="24"/>
              </w:rPr>
              <w:t>рганизация розничной торговли, находящаяся на общей системе налогообложения приобретает ЖНВЛП у оптовой организации, находящейся на УСН или являющейся плательщиком ЕНВД, и применившей предельный размер оптовой надбавки в размере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составляет 11,75% и розничной надбавки до 50 рублей включительно 24,6 %, свыше 50 руб. до 500 руб. включительно 24,9%, свыше 500 руб. -24,3 %)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1246,73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1160,71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1142,35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1133,19 </w:t>
            </w:r>
            <w:r>
              <w:rPr>
                <w:szCs w:val="24"/>
                <w:lang w:val="ru-RU"/>
              </w:rPr>
              <w:t>руб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481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Определите отпускную цену организации розничной торговли на препарат к</w:t>
            </w:r>
            <w:r>
              <w:rPr>
                <w:color w:val="000000"/>
                <w:szCs w:val="24"/>
                <w:lang w:val="ru-RU"/>
              </w:rPr>
              <w:t>арбоплатин, зарегистрированная отпускная цена производителя 421,2 рублей, если о</w:t>
            </w:r>
            <w:r>
              <w:rPr>
                <w:color w:val="111111"/>
                <w:szCs w:val="24"/>
              </w:rPr>
              <w:t>рганизация розничной торговли, находящаяся на УСН или являющаяся плательщиком ЕНВД, приобретает ЖНВЛП у оптовой организации, находящейся на общей системе налогообложения и применившей предельный размер оптовой надбавки  в размере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составляет 11,75% и розничной надбавки до 50 рублей включительно 24,6 %, свыше 50 руб. до 500 руб. включительно 24,9%, свыше 500 руб. составляет 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623,79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634,28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618,74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680,37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482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szCs w:val="24"/>
                <w:lang w:val="ru-RU"/>
              </w:rPr>
              <w:t>Определите отпускную цену организации розничной торговли на препарат парцетамол</w:t>
            </w:r>
            <w:r>
              <w:rPr>
                <w:color w:val="000000"/>
                <w:szCs w:val="24"/>
                <w:lang w:val="ru-RU"/>
              </w:rPr>
              <w:t>, зарегистрированная отпускная цена производителя 22,44 рублей, если о</w:t>
            </w:r>
            <w:r>
              <w:rPr>
                <w:color w:val="111111"/>
                <w:szCs w:val="24"/>
              </w:rPr>
              <w:t xml:space="preserve">рганизация  розничной торговли, находящаяся на УСН или являющаяся плательщиком ЕНВД, приобретает ЖНВЛП у </w:t>
            </w:r>
            <w:r>
              <w:rPr>
                <w:rStyle w:val="a5"/>
                <w:b w:val="0"/>
                <w:bCs w:val="0"/>
                <w:color w:val="111111"/>
                <w:szCs w:val="24"/>
              </w:rPr>
              <w:t xml:space="preserve">оптовой организации, находящейся на УСН или являющейся плательщиком ЕНВД, и применившей предельный размер оптовой надбавки </w:t>
            </w:r>
            <w:r>
              <w:rPr>
                <w:color w:val="111111"/>
                <w:szCs w:val="24"/>
              </w:rPr>
              <w:t xml:space="preserve">  в размере (</w:t>
            </w:r>
            <w:r>
              <w:rPr>
                <w:color w:val="111111"/>
                <w:szCs w:val="24"/>
                <w:lang w:val="ru-RU"/>
              </w:rPr>
              <w:t>до 50 рублей включительно 11,73%, свыше 50 руб. до 500 руб. включительно 12%, свыше 500 руб. составляет 11,75% и розничной надбавки до 50 рублей включительно 24,6 %, свыше 50 руб. до 500 руб. включительно 24,9%, свыше 500 руб. составляет 24,3 %)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32,83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33,65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33,09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 36.11руб.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483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szCs w:val="24"/>
                <w:lang w:val="ru-RU"/>
              </w:rPr>
              <w:t xml:space="preserve">Определите отпускную цену организации оптовой  торговли,  </w:t>
            </w:r>
            <w:r>
              <w:rPr>
                <w:color w:val="111111"/>
                <w:szCs w:val="24"/>
                <w:lang w:val="ru-RU"/>
              </w:rPr>
              <w:t xml:space="preserve">находящейся на общей системе налогообложения,  </w:t>
            </w:r>
            <w:r>
              <w:rPr>
                <w:szCs w:val="24"/>
                <w:lang w:val="ru-RU"/>
              </w:rPr>
              <w:t>на препарат карипразин</w:t>
            </w:r>
            <w:r>
              <w:rPr>
                <w:color w:val="000000"/>
                <w:szCs w:val="24"/>
                <w:lang w:val="ru-RU"/>
              </w:rPr>
              <w:t xml:space="preserve">, зарегистрированная отпускная цена производителя 2997,86 рублей </w:t>
            </w:r>
            <w:r>
              <w:rPr>
                <w:rStyle w:val="a5"/>
                <w:b w:val="0"/>
                <w:bCs w:val="0"/>
                <w:color w:val="111111"/>
                <w:szCs w:val="24"/>
                <w:lang w:val="ru-RU"/>
              </w:rPr>
              <w:t xml:space="preserve">и применившей предельный размер оптовой надбавки </w:t>
            </w:r>
            <w:r>
              <w:rPr>
                <w:color w:val="111111"/>
                <w:szCs w:val="24"/>
                <w:lang w:val="ru-RU"/>
              </w:rPr>
              <w:t xml:space="preserve">  в размере (до 50 рублей включительно 11,73%, свыше 50 руб. до 500 руб. включительно 12%, свыше 500 руб. составляет 11,75%)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3684,18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3385,33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3649,9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3350,11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 xml:space="preserve">Определите отпускную цену организации оптовой  торговли,  </w:t>
            </w:r>
            <w:r>
              <w:rPr>
                <w:color w:val="111111"/>
                <w:szCs w:val="24"/>
                <w:lang w:val="ru-RU"/>
              </w:rPr>
              <w:t xml:space="preserve">находящейся на  УСН или являющаяся плательщиком ЕНВД,  </w:t>
            </w:r>
            <w:r>
              <w:rPr>
                <w:szCs w:val="24"/>
                <w:lang w:val="ru-RU"/>
              </w:rPr>
              <w:t>на препарат б</w:t>
            </w:r>
            <w:r>
              <w:rPr>
                <w:color w:val="000000"/>
                <w:szCs w:val="24"/>
                <w:lang w:val="ru-RU"/>
              </w:rPr>
              <w:t xml:space="preserve">етагистин, зарегистрированная отпускная цена производителя 185,13 рублей </w:t>
            </w:r>
            <w:r>
              <w:rPr>
                <w:rStyle w:val="a5"/>
                <w:b w:val="0"/>
                <w:bCs w:val="0"/>
                <w:color w:val="111111"/>
                <w:szCs w:val="24"/>
                <w:lang w:val="ru-RU"/>
              </w:rPr>
              <w:t xml:space="preserve">и применившей предельный размер оптовой надбавки </w:t>
            </w:r>
            <w:r>
              <w:rPr>
                <w:color w:val="111111"/>
                <w:szCs w:val="24"/>
                <w:lang w:val="ru-RU"/>
              </w:rPr>
              <w:t xml:space="preserve">  в размере (до 50 рублей включительно 11,73%, свыше 50 руб. до 500 руб. включительно 12%, свыше 500 руб. составляет 11,75%)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225,95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207,34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228,07 </w:t>
            </w:r>
            <w:r>
              <w:rPr>
                <w:szCs w:val="24"/>
                <w:lang w:val="ru-RU"/>
              </w:rPr>
              <w:t>руб.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209,56 </w:t>
            </w:r>
            <w:r>
              <w:rPr>
                <w:szCs w:val="24"/>
                <w:lang w:val="ru-RU"/>
              </w:rPr>
              <w:t>руб.</w:t>
            </w:r>
          </w:p>
          <w:p w:rsidR="00A20D57" w:rsidRDefault="00A20D57">
            <w:pPr>
              <w:rPr>
                <w:lang w:val="ru-RU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485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Элемент упаковки, представляющий собой изделие или ёмкость для размещения продукции, называется: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тара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транспортная тара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вторичная упаковка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потребительская упаковка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486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Упаковка, объединяющая определённое количество упаковок, называется: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вторичная упаковка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первичная упаковка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инвентарная тара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индивидуальная тара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Вес продукции без транспортной упаковки называется: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нетто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брутто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общий вес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транспортная масса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Маркировка, нанесенная на потребительские товары в целях доведения до потребителей всех необходимых сведений о товаре, выполняет функцию: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информационную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идентифицирующую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маркетинговую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мотивирующую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Идентифицирующая функция маркировки товаров заключается в том, что она позволяет: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установить соответствие нормативной документации, договорам по ассортиментной принадлежности, качеству и безопасности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довести до покупателей объем всех необходимых сведений о товаре, регламентируемых Законом РФ «О защите прав потребителей»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привлечь внимание потребителей к товарам конкретного производителя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эффективно разместить товар в «горячей зоне»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489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Знаки, наносимые на упаковку и предназначенные для обеспечения безопасности потребителя и окружающей среды при эксплуатации потенциально опасных товаров путем предупреждения об опасности или указания на действия по предупреждению опасности, называются: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предупредительные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информационные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манипуляционные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эксплуатационные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Серия лекарственного средства – это: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лекарственного средства, произведенное в результате одного технологического цикла его производителем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производственный номер,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кодовое обозначение, присвоенное лекарственному препарату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дата изготовления (фасовки) препарата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491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Номер регистрационного удостоверения лекарственного препарата, нанесенный на вторичную упаковку, означает: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номер документа, подтверждающего факт государственной регистрации лекарственного препарата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регистрационный номер декларации о соответствии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кодовое обозначение, присвоенное лекарственному препарату при его государственной регистрации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C81992">
            <w:hyperlink r:id="rId77">
              <w:r w:rsidR="00FB5B4E">
                <w:rPr>
                  <w:rStyle w:val="-"/>
                  <w:color w:val="000000"/>
                  <w:szCs w:val="24"/>
                  <w:u w:val="none"/>
                </w:rPr>
                <w:t>номер технического регламента</w:t>
              </w:r>
            </w:hyperlink>
            <w:r w:rsidR="00FB5B4E">
              <w:rPr>
                <w:color w:val="000000"/>
                <w:szCs w:val="24"/>
              </w:rPr>
              <w:t>, которому соответствует данный товар</w:t>
            </w:r>
            <w:r w:rsidR="00FB5B4E"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492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 вторичную (потребительскую) упаковку лекарственных средств, полученных из крови, плазмы крови, органов и тканей человека, должна наноситься обязательная информация: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«антитела к ВИЧ-1, ВИЧ-2, к вирусу гепатита C и поверхностный антиген вируса гепатита B отсутствуют»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«органопрепараты»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«медицинские иммунобиологические препараты»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«содержит консерванты»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493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 вторичную (потребительскую) упаковку лекарственных растительных препаратов должна наноситься (помимо прочих) обязательная информация: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«продукция прошла радиационный контроль»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«хранить в недоступном для детей месте»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«хранить в прохладном месте»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«собрано в экологически чистом районе»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494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Письменное предложение поставщика фармацевтических и медицинских товаров потенциальным покупателям своей продукции – это: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оферта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тендер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договор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лизинг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495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Сроки и порядок поставки </w:t>
            </w:r>
            <w:r>
              <w:rPr>
                <w:color w:val="000000"/>
                <w:szCs w:val="24"/>
                <w:lang w:val="ru-RU"/>
              </w:rPr>
              <w:t>фармацевтической продукции</w:t>
            </w:r>
            <w:r>
              <w:rPr>
                <w:color w:val="000000"/>
                <w:szCs w:val="24"/>
              </w:rPr>
              <w:t xml:space="preserve"> устанавливаются и закрепляются: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договоре поставки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Гражданском Кодексе РФ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лицензии поставщика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496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Для бактерийных и медицинских иммунобиологических препаратов, стоматологических материалов срок годности на момент их поставки должен составлять: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 менее 50 % от общего срока годности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не менее 20 % от общего срока годности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 менее 80 % от общего срока годности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устанавливается договором поставки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497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Приёмку товаров в аптечных организациях осуществляют: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приемная комиссия, состав которой определен приказом руководителя организации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материально-ответственное лицо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провизор-аналитик, назначенный приказом руководителя аптеки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заведующий аптекой и провизор-технолог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498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Исключите ошибочное утверждение. Медицинские изделия при обращении на территории Российской Федерации: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регистрируются производителем в добровольном порядке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 должны быть зарегистрированы уполномоченным Правительством РФ федеральным органом исполнительной власти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r>
              <w:rPr>
                <w:color w:val="000000"/>
                <w:szCs w:val="24"/>
              </w:rPr>
              <w:t xml:space="preserve">государственной регистрации не подлежат, если они изготовлены по индивидуальным заказам пациентов и предназначены исключительно для </w:t>
            </w:r>
            <w:r>
              <w:rPr>
                <w:szCs w:val="24"/>
              </w:rPr>
              <w:t xml:space="preserve"> </w:t>
            </w:r>
            <w:hyperlink r:id="rId78">
              <w:r>
                <w:rPr>
                  <w:rStyle w:val="-"/>
                  <w:color w:val="000000"/>
                  <w:szCs w:val="24"/>
                  <w:u w:val="none"/>
                </w:rPr>
                <w:t>личного использования конкретным пациентом</w:t>
              </w:r>
            </w:hyperlink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государственную услугу по государственной регистрации медицинских изделий предоставляет Росздравнадзор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499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Национальный орган Российской Федерации по стандартизации – это: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Федеральное агентство по техническому регулированию и метрологии</w:t>
            </w:r>
            <w:r>
              <w:rPr>
                <w:szCs w:val="24"/>
              </w:rPr>
              <w:br/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Госстандарт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Росздравнадзор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Ростехрегулирование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500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Государственными стандартами качества лекарственных средств принято считать: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Фармакопейные статьи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Национальные стандарты ГОСТ Р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В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Стандарты медицинской помощи</w:t>
            </w:r>
            <w:r>
              <w:rPr>
                <w:szCs w:val="24"/>
              </w:rPr>
              <w:t xml:space="preserve"> 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jc w:val="center"/>
            </w:pPr>
            <w:r>
              <w:rPr>
                <w:color w:val="000000"/>
                <w:szCs w:val="24"/>
              </w:rPr>
              <w:t>Г</w:t>
            </w: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FB5B4E">
            <w:pPr>
              <w:rPr>
                <w:szCs w:val="24"/>
              </w:rPr>
            </w:pPr>
            <w:r>
              <w:rPr>
                <w:szCs w:val="24"/>
              </w:rPr>
              <w:t>Приказы Минздрава России</w:t>
            </w:r>
          </w:p>
        </w:tc>
      </w:tr>
      <w:tr w:rsidR="00A20D57">
        <w:tc>
          <w:tcPr>
            <w:tcW w:w="6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jc w:val="center"/>
            </w:pPr>
          </w:p>
        </w:tc>
        <w:tc>
          <w:tcPr>
            <w:tcW w:w="74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28" w:type="dxa"/>
            </w:tcMar>
            <w:vAlign w:val="center"/>
          </w:tcPr>
          <w:p w:rsidR="00A20D57" w:rsidRDefault="00A20D57">
            <w:pPr>
              <w:rPr>
                <w:szCs w:val="24"/>
              </w:rPr>
            </w:pPr>
          </w:p>
        </w:tc>
      </w:tr>
    </w:tbl>
    <w:p w:rsidR="00A20D57" w:rsidRDefault="00A20D57"/>
    <w:sectPr w:rsidR="00A20D5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C Cyril">
    <w:charset w:val="CC"/>
    <w:family w:val="roman"/>
    <w:pitch w:val="variable"/>
  </w:font>
  <w:font w:name="sans-serif">
    <w:altName w:val="Arial"/>
    <w:charset w:val="CC"/>
    <w:family w:val="roman"/>
    <w:pitch w:val="variable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Montserrat;sans-serif">
    <w:altName w:val="Times New Roman"/>
    <w:panose1 w:val="00000000000000000000"/>
    <w:charset w:val="00"/>
    <w:family w:val="roman"/>
    <w:notTrueType/>
    <w:pitch w:val="default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238"/>
    <w:multiLevelType w:val="multilevel"/>
    <w:tmpl w:val="BAC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42353FC"/>
    <w:multiLevelType w:val="multilevel"/>
    <w:tmpl w:val="517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A6F00CF"/>
    <w:multiLevelType w:val="multilevel"/>
    <w:tmpl w:val="5F50E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1A5498"/>
    <w:multiLevelType w:val="multilevel"/>
    <w:tmpl w:val="429EF1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7"/>
    <w:rsid w:val="00A20D57"/>
    <w:rsid w:val="00C81992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en-US" w:eastAsia="ru-RU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qFormat/>
    <w:rsid w:val="00A0671D"/>
  </w:style>
  <w:style w:type="paragraph" w:customStyle="1" w:styleId="21">
    <w:name w:val="Заголовок 21"/>
    <w:basedOn w:val="a0"/>
    <w:qFormat/>
    <w:rsid w:val="00A0671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31">
    <w:name w:val="Заголовок 31"/>
    <w:basedOn w:val="a0"/>
    <w:qFormat/>
    <w:rsid w:val="00A0671D"/>
  </w:style>
  <w:style w:type="paragraph" w:customStyle="1" w:styleId="61">
    <w:name w:val="Заголовок 61"/>
    <w:basedOn w:val="a0"/>
    <w:qFormat/>
    <w:rsid w:val="00A0671D"/>
    <w:pPr>
      <w:numPr>
        <w:ilvl w:val="5"/>
        <w:numId w:val="1"/>
      </w:num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customStyle="1" w:styleId="a4">
    <w:name w:val="Основной текст Знак"/>
    <w:basedOn w:val="a1"/>
    <w:semiHidden/>
    <w:qFormat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ListLabel1">
    <w:name w:val="ListLabel 1"/>
    <w:qFormat/>
    <w:rsid w:val="00A0671D"/>
    <w:rPr>
      <w:b w:val="0"/>
      <w:lang w:val="ru-RU"/>
    </w:rPr>
  </w:style>
  <w:style w:type="character" w:customStyle="1" w:styleId="ListLabel2">
    <w:name w:val="ListLabel 2"/>
    <w:qFormat/>
    <w:rsid w:val="00A0671D"/>
    <w:rPr>
      <w:sz w:val="28"/>
    </w:rPr>
  </w:style>
  <w:style w:type="character" w:customStyle="1" w:styleId="ListLabel3">
    <w:name w:val="ListLabel 3"/>
    <w:qFormat/>
    <w:rsid w:val="00A0671D"/>
    <w:rPr>
      <w:rFonts w:cs="Courier New"/>
    </w:rPr>
  </w:style>
  <w:style w:type="character" w:customStyle="1" w:styleId="ListLabel4">
    <w:name w:val="ListLabel 4"/>
    <w:qFormat/>
    <w:rsid w:val="00A0671D"/>
    <w:rPr>
      <w:rFonts w:cs="Courier New"/>
    </w:rPr>
  </w:style>
  <w:style w:type="character" w:customStyle="1" w:styleId="ListLabel5">
    <w:name w:val="ListLabel 5"/>
    <w:qFormat/>
    <w:rsid w:val="00A0671D"/>
    <w:rPr>
      <w:rFonts w:cs="Courier New"/>
    </w:rPr>
  </w:style>
  <w:style w:type="character" w:customStyle="1" w:styleId="ListLabel6">
    <w:name w:val="ListLabel 6"/>
    <w:qFormat/>
    <w:rsid w:val="00A0671D"/>
    <w:rPr>
      <w:sz w:val="28"/>
    </w:rPr>
  </w:style>
  <w:style w:type="character" w:customStyle="1" w:styleId="ListLabel7">
    <w:name w:val="ListLabel 7"/>
    <w:qFormat/>
    <w:rsid w:val="00A0671D"/>
    <w:rPr>
      <w:rFonts w:cs="Courier New"/>
    </w:rPr>
  </w:style>
  <w:style w:type="character" w:customStyle="1" w:styleId="ListLabel8">
    <w:name w:val="ListLabel 8"/>
    <w:qFormat/>
    <w:rsid w:val="00A0671D"/>
    <w:rPr>
      <w:rFonts w:cs="Courier New"/>
    </w:rPr>
  </w:style>
  <w:style w:type="character" w:customStyle="1" w:styleId="ListLabel9">
    <w:name w:val="ListLabel 9"/>
    <w:qFormat/>
    <w:rsid w:val="00A0671D"/>
    <w:rPr>
      <w:rFonts w:cs="Courier New"/>
    </w:rPr>
  </w:style>
  <w:style w:type="character" w:customStyle="1" w:styleId="ListLabel10">
    <w:name w:val="ListLabel 10"/>
    <w:qFormat/>
    <w:rsid w:val="00A0671D"/>
    <w:rPr>
      <w:sz w:val="28"/>
    </w:rPr>
  </w:style>
  <w:style w:type="character" w:customStyle="1" w:styleId="ListLabel11">
    <w:name w:val="ListLabel 11"/>
    <w:qFormat/>
    <w:rsid w:val="00A0671D"/>
    <w:rPr>
      <w:rFonts w:cs="Courier New"/>
    </w:rPr>
  </w:style>
  <w:style w:type="character" w:customStyle="1" w:styleId="ListLabel12">
    <w:name w:val="ListLabel 12"/>
    <w:qFormat/>
    <w:rsid w:val="00A0671D"/>
    <w:rPr>
      <w:rFonts w:cs="Courier New"/>
    </w:rPr>
  </w:style>
  <w:style w:type="character" w:customStyle="1" w:styleId="ListLabel13">
    <w:name w:val="ListLabel 13"/>
    <w:qFormat/>
    <w:rsid w:val="00A0671D"/>
    <w:rPr>
      <w:rFonts w:cs="Courier New"/>
    </w:rPr>
  </w:style>
  <w:style w:type="character" w:customStyle="1" w:styleId="-">
    <w:name w:val="Интернет-ссылка"/>
    <w:rsid w:val="00A0671D"/>
    <w:rPr>
      <w:color w:val="000080"/>
      <w:u w:val="single"/>
    </w:rPr>
  </w:style>
  <w:style w:type="character" w:customStyle="1" w:styleId="a5">
    <w:name w:val="Выделение жирным"/>
    <w:qFormat/>
    <w:rsid w:val="00A0671D"/>
    <w:rPr>
      <w:b/>
      <w:bCs/>
    </w:rPr>
  </w:style>
  <w:style w:type="character" w:customStyle="1" w:styleId="a6">
    <w:name w:val="Маркеры списка"/>
    <w:qFormat/>
    <w:rsid w:val="00A0671D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A0671D"/>
  </w:style>
  <w:style w:type="character" w:customStyle="1" w:styleId="ListLabel14">
    <w:name w:val="ListLabel 14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15">
    <w:name w:val="ListLabel 15"/>
    <w:qFormat/>
    <w:rsid w:val="00A0671D"/>
    <w:rPr>
      <w:rFonts w:cs="OpenSymbol"/>
    </w:rPr>
  </w:style>
  <w:style w:type="character" w:customStyle="1" w:styleId="ListLabel16">
    <w:name w:val="ListLabel 16"/>
    <w:qFormat/>
    <w:rsid w:val="00A0671D"/>
    <w:rPr>
      <w:rFonts w:cs="OpenSymbol"/>
    </w:rPr>
  </w:style>
  <w:style w:type="character" w:customStyle="1" w:styleId="ListLabel17">
    <w:name w:val="ListLabel 17"/>
    <w:qFormat/>
    <w:rsid w:val="00A0671D"/>
    <w:rPr>
      <w:rFonts w:cs="OpenSymbol"/>
    </w:rPr>
  </w:style>
  <w:style w:type="character" w:customStyle="1" w:styleId="ListLabel18">
    <w:name w:val="ListLabel 18"/>
    <w:qFormat/>
    <w:rsid w:val="00A0671D"/>
    <w:rPr>
      <w:rFonts w:cs="OpenSymbol"/>
    </w:rPr>
  </w:style>
  <w:style w:type="character" w:customStyle="1" w:styleId="ListLabel19">
    <w:name w:val="ListLabel 19"/>
    <w:qFormat/>
    <w:rsid w:val="00A0671D"/>
    <w:rPr>
      <w:rFonts w:cs="OpenSymbol"/>
    </w:rPr>
  </w:style>
  <w:style w:type="character" w:customStyle="1" w:styleId="ListLabel20">
    <w:name w:val="ListLabel 20"/>
    <w:qFormat/>
    <w:rsid w:val="00A0671D"/>
    <w:rPr>
      <w:rFonts w:cs="OpenSymbol"/>
    </w:rPr>
  </w:style>
  <w:style w:type="character" w:customStyle="1" w:styleId="ListLabel21">
    <w:name w:val="ListLabel 21"/>
    <w:qFormat/>
    <w:rsid w:val="00A0671D"/>
    <w:rPr>
      <w:rFonts w:cs="OpenSymbol"/>
    </w:rPr>
  </w:style>
  <w:style w:type="character" w:customStyle="1" w:styleId="ListLabel22">
    <w:name w:val="ListLabel 22"/>
    <w:qFormat/>
    <w:rsid w:val="00A0671D"/>
    <w:rPr>
      <w:rFonts w:cs="OpenSymbol"/>
    </w:rPr>
  </w:style>
  <w:style w:type="character" w:customStyle="1" w:styleId="ListLabel23">
    <w:name w:val="ListLabel 23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24">
    <w:name w:val="ListLabel 24"/>
    <w:qFormat/>
    <w:rsid w:val="00A0671D"/>
    <w:rPr>
      <w:rFonts w:cs="OpenSymbol"/>
    </w:rPr>
  </w:style>
  <w:style w:type="character" w:customStyle="1" w:styleId="ListLabel25">
    <w:name w:val="ListLabel 25"/>
    <w:qFormat/>
    <w:rsid w:val="00A0671D"/>
    <w:rPr>
      <w:rFonts w:cs="OpenSymbol"/>
    </w:rPr>
  </w:style>
  <w:style w:type="character" w:customStyle="1" w:styleId="ListLabel26">
    <w:name w:val="ListLabel 26"/>
    <w:qFormat/>
    <w:rsid w:val="00A0671D"/>
    <w:rPr>
      <w:rFonts w:cs="OpenSymbol"/>
    </w:rPr>
  </w:style>
  <w:style w:type="character" w:customStyle="1" w:styleId="ListLabel27">
    <w:name w:val="ListLabel 27"/>
    <w:qFormat/>
    <w:rsid w:val="00A0671D"/>
    <w:rPr>
      <w:rFonts w:cs="OpenSymbol"/>
    </w:rPr>
  </w:style>
  <w:style w:type="character" w:customStyle="1" w:styleId="ListLabel28">
    <w:name w:val="ListLabel 28"/>
    <w:qFormat/>
    <w:rsid w:val="00A0671D"/>
    <w:rPr>
      <w:rFonts w:cs="OpenSymbol"/>
    </w:rPr>
  </w:style>
  <w:style w:type="character" w:customStyle="1" w:styleId="ListLabel29">
    <w:name w:val="ListLabel 29"/>
    <w:qFormat/>
    <w:rsid w:val="00A0671D"/>
    <w:rPr>
      <w:rFonts w:cs="OpenSymbol"/>
    </w:rPr>
  </w:style>
  <w:style w:type="character" w:customStyle="1" w:styleId="ListLabel30">
    <w:name w:val="ListLabel 30"/>
    <w:qFormat/>
    <w:rsid w:val="00A0671D"/>
    <w:rPr>
      <w:rFonts w:cs="OpenSymbol"/>
    </w:rPr>
  </w:style>
  <w:style w:type="character" w:customStyle="1" w:styleId="ListLabel31">
    <w:name w:val="ListLabel 31"/>
    <w:qFormat/>
    <w:rsid w:val="00A0671D"/>
    <w:rPr>
      <w:rFonts w:cs="OpenSymbol"/>
    </w:rPr>
  </w:style>
  <w:style w:type="character" w:customStyle="1" w:styleId="ListLabel32">
    <w:name w:val="ListLabel 32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33">
    <w:name w:val="ListLabel 33"/>
    <w:qFormat/>
    <w:rsid w:val="00A0671D"/>
    <w:rPr>
      <w:rFonts w:cs="OpenSymbol"/>
    </w:rPr>
  </w:style>
  <w:style w:type="character" w:customStyle="1" w:styleId="ListLabel34">
    <w:name w:val="ListLabel 34"/>
    <w:qFormat/>
    <w:rsid w:val="00A0671D"/>
    <w:rPr>
      <w:rFonts w:cs="OpenSymbol"/>
    </w:rPr>
  </w:style>
  <w:style w:type="character" w:customStyle="1" w:styleId="ListLabel35">
    <w:name w:val="ListLabel 35"/>
    <w:qFormat/>
    <w:rsid w:val="00A0671D"/>
    <w:rPr>
      <w:rFonts w:cs="OpenSymbol"/>
    </w:rPr>
  </w:style>
  <w:style w:type="character" w:customStyle="1" w:styleId="ListLabel36">
    <w:name w:val="ListLabel 36"/>
    <w:qFormat/>
    <w:rsid w:val="00A0671D"/>
    <w:rPr>
      <w:rFonts w:cs="OpenSymbol"/>
    </w:rPr>
  </w:style>
  <w:style w:type="character" w:customStyle="1" w:styleId="ListLabel37">
    <w:name w:val="ListLabel 37"/>
    <w:qFormat/>
    <w:rsid w:val="00A0671D"/>
    <w:rPr>
      <w:rFonts w:cs="OpenSymbol"/>
    </w:rPr>
  </w:style>
  <w:style w:type="character" w:customStyle="1" w:styleId="ListLabel38">
    <w:name w:val="ListLabel 38"/>
    <w:qFormat/>
    <w:rsid w:val="00A0671D"/>
    <w:rPr>
      <w:rFonts w:cs="OpenSymbol"/>
    </w:rPr>
  </w:style>
  <w:style w:type="character" w:customStyle="1" w:styleId="ListLabel39">
    <w:name w:val="ListLabel 39"/>
    <w:qFormat/>
    <w:rsid w:val="00A0671D"/>
    <w:rPr>
      <w:rFonts w:cs="OpenSymbol"/>
    </w:rPr>
  </w:style>
  <w:style w:type="character" w:customStyle="1" w:styleId="ListLabel40">
    <w:name w:val="ListLabel 40"/>
    <w:qFormat/>
    <w:rsid w:val="00A0671D"/>
    <w:rPr>
      <w:rFonts w:cs="OpenSymbol"/>
    </w:rPr>
  </w:style>
  <w:style w:type="character" w:customStyle="1" w:styleId="ListLabel41">
    <w:name w:val="ListLabel 41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42">
    <w:name w:val="ListLabel 42"/>
    <w:qFormat/>
    <w:rsid w:val="00A0671D"/>
    <w:rPr>
      <w:rFonts w:cs="OpenSymbol"/>
    </w:rPr>
  </w:style>
  <w:style w:type="character" w:customStyle="1" w:styleId="ListLabel43">
    <w:name w:val="ListLabel 43"/>
    <w:qFormat/>
    <w:rsid w:val="00A0671D"/>
    <w:rPr>
      <w:rFonts w:cs="OpenSymbol"/>
    </w:rPr>
  </w:style>
  <w:style w:type="character" w:customStyle="1" w:styleId="ListLabel44">
    <w:name w:val="ListLabel 44"/>
    <w:qFormat/>
    <w:rsid w:val="00A0671D"/>
    <w:rPr>
      <w:rFonts w:cs="OpenSymbol"/>
    </w:rPr>
  </w:style>
  <w:style w:type="character" w:customStyle="1" w:styleId="ListLabel45">
    <w:name w:val="ListLabel 45"/>
    <w:qFormat/>
    <w:rsid w:val="00A0671D"/>
    <w:rPr>
      <w:rFonts w:cs="OpenSymbol"/>
    </w:rPr>
  </w:style>
  <w:style w:type="character" w:customStyle="1" w:styleId="ListLabel46">
    <w:name w:val="ListLabel 46"/>
    <w:qFormat/>
    <w:rsid w:val="00A0671D"/>
    <w:rPr>
      <w:rFonts w:cs="OpenSymbol"/>
    </w:rPr>
  </w:style>
  <w:style w:type="character" w:customStyle="1" w:styleId="ListLabel47">
    <w:name w:val="ListLabel 47"/>
    <w:qFormat/>
    <w:rsid w:val="00A0671D"/>
    <w:rPr>
      <w:rFonts w:cs="OpenSymbol"/>
    </w:rPr>
  </w:style>
  <w:style w:type="character" w:customStyle="1" w:styleId="ListLabel48">
    <w:name w:val="ListLabel 48"/>
    <w:qFormat/>
    <w:rsid w:val="00A0671D"/>
    <w:rPr>
      <w:rFonts w:cs="OpenSymbol"/>
    </w:rPr>
  </w:style>
  <w:style w:type="character" w:customStyle="1" w:styleId="ListLabel49">
    <w:name w:val="ListLabel 49"/>
    <w:qFormat/>
    <w:rsid w:val="00A0671D"/>
    <w:rPr>
      <w:rFonts w:cs="OpenSymbol"/>
    </w:rPr>
  </w:style>
  <w:style w:type="character" w:customStyle="1" w:styleId="ListLabel50">
    <w:name w:val="ListLabel 50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51">
    <w:name w:val="ListLabel 51"/>
    <w:qFormat/>
    <w:rsid w:val="00A0671D"/>
    <w:rPr>
      <w:rFonts w:cs="OpenSymbol"/>
    </w:rPr>
  </w:style>
  <w:style w:type="character" w:customStyle="1" w:styleId="ListLabel52">
    <w:name w:val="ListLabel 52"/>
    <w:qFormat/>
    <w:rsid w:val="00A0671D"/>
    <w:rPr>
      <w:rFonts w:cs="OpenSymbol"/>
    </w:rPr>
  </w:style>
  <w:style w:type="character" w:customStyle="1" w:styleId="ListLabel53">
    <w:name w:val="ListLabel 53"/>
    <w:qFormat/>
    <w:rsid w:val="00A0671D"/>
    <w:rPr>
      <w:rFonts w:cs="OpenSymbol"/>
    </w:rPr>
  </w:style>
  <w:style w:type="character" w:customStyle="1" w:styleId="ListLabel54">
    <w:name w:val="ListLabel 54"/>
    <w:qFormat/>
    <w:rsid w:val="00A0671D"/>
    <w:rPr>
      <w:rFonts w:cs="OpenSymbol"/>
    </w:rPr>
  </w:style>
  <w:style w:type="character" w:customStyle="1" w:styleId="ListLabel55">
    <w:name w:val="ListLabel 55"/>
    <w:qFormat/>
    <w:rsid w:val="00A0671D"/>
    <w:rPr>
      <w:rFonts w:cs="OpenSymbol"/>
    </w:rPr>
  </w:style>
  <w:style w:type="character" w:customStyle="1" w:styleId="ListLabel56">
    <w:name w:val="ListLabel 56"/>
    <w:qFormat/>
    <w:rsid w:val="00A0671D"/>
    <w:rPr>
      <w:rFonts w:cs="OpenSymbol"/>
    </w:rPr>
  </w:style>
  <w:style w:type="character" w:customStyle="1" w:styleId="ListLabel57">
    <w:name w:val="ListLabel 57"/>
    <w:qFormat/>
    <w:rsid w:val="00A0671D"/>
    <w:rPr>
      <w:rFonts w:cs="OpenSymbol"/>
    </w:rPr>
  </w:style>
  <w:style w:type="character" w:customStyle="1" w:styleId="ListLabel58">
    <w:name w:val="ListLabel 58"/>
    <w:qFormat/>
    <w:rsid w:val="00A0671D"/>
    <w:rPr>
      <w:rFonts w:cs="OpenSymbol"/>
    </w:rPr>
  </w:style>
  <w:style w:type="character" w:customStyle="1" w:styleId="ListLabel59">
    <w:name w:val="ListLabel 59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60">
    <w:name w:val="ListLabel 60"/>
    <w:qFormat/>
    <w:rsid w:val="00A0671D"/>
    <w:rPr>
      <w:rFonts w:cs="OpenSymbol"/>
    </w:rPr>
  </w:style>
  <w:style w:type="character" w:customStyle="1" w:styleId="ListLabel61">
    <w:name w:val="ListLabel 61"/>
    <w:qFormat/>
    <w:rsid w:val="00A0671D"/>
    <w:rPr>
      <w:rFonts w:cs="OpenSymbol"/>
    </w:rPr>
  </w:style>
  <w:style w:type="character" w:customStyle="1" w:styleId="ListLabel62">
    <w:name w:val="ListLabel 62"/>
    <w:qFormat/>
    <w:rsid w:val="00A0671D"/>
    <w:rPr>
      <w:rFonts w:cs="OpenSymbol"/>
    </w:rPr>
  </w:style>
  <w:style w:type="character" w:customStyle="1" w:styleId="ListLabel63">
    <w:name w:val="ListLabel 63"/>
    <w:qFormat/>
    <w:rsid w:val="00A0671D"/>
    <w:rPr>
      <w:rFonts w:cs="OpenSymbol"/>
    </w:rPr>
  </w:style>
  <w:style w:type="character" w:customStyle="1" w:styleId="ListLabel64">
    <w:name w:val="ListLabel 64"/>
    <w:qFormat/>
    <w:rsid w:val="00A0671D"/>
    <w:rPr>
      <w:rFonts w:cs="OpenSymbol"/>
    </w:rPr>
  </w:style>
  <w:style w:type="character" w:customStyle="1" w:styleId="ListLabel65">
    <w:name w:val="ListLabel 65"/>
    <w:qFormat/>
    <w:rsid w:val="00A0671D"/>
    <w:rPr>
      <w:rFonts w:cs="OpenSymbol"/>
    </w:rPr>
  </w:style>
  <w:style w:type="character" w:customStyle="1" w:styleId="ListLabel66">
    <w:name w:val="ListLabel 66"/>
    <w:qFormat/>
    <w:rsid w:val="00A0671D"/>
    <w:rPr>
      <w:rFonts w:cs="OpenSymbol"/>
    </w:rPr>
  </w:style>
  <w:style w:type="character" w:customStyle="1" w:styleId="ListLabel67">
    <w:name w:val="ListLabel 67"/>
    <w:qFormat/>
    <w:rsid w:val="00A0671D"/>
    <w:rPr>
      <w:rFonts w:cs="OpenSymbol"/>
    </w:rPr>
  </w:style>
  <w:style w:type="character" w:customStyle="1" w:styleId="ListLabel68">
    <w:name w:val="ListLabel 68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69">
    <w:name w:val="ListLabel 69"/>
    <w:qFormat/>
    <w:rsid w:val="00A0671D"/>
    <w:rPr>
      <w:rFonts w:cs="OpenSymbol"/>
    </w:rPr>
  </w:style>
  <w:style w:type="character" w:customStyle="1" w:styleId="ListLabel70">
    <w:name w:val="ListLabel 70"/>
    <w:qFormat/>
    <w:rsid w:val="00A0671D"/>
    <w:rPr>
      <w:rFonts w:cs="OpenSymbol"/>
    </w:rPr>
  </w:style>
  <w:style w:type="character" w:customStyle="1" w:styleId="ListLabel71">
    <w:name w:val="ListLabel 71"/>
    <w:qFormat/>
    <w:rsid w:val="00A0671D"/>
    <w:rPr>
      <w:rFonts w:cs="OpenSymbol"/>
    </w:rPr>
  </w:style>
  <w:style w:type="character" w:customStyle="1" w:styleId="ListLabel72">
    <w:name w:val="ListLabel 72"/>
    <w:qFormat/>
    <w:rsid w:val="00A0671D"/>
    <w:rPr>
      <w:rFonts w:cs="OpenSymbol"/>
    </w:rPr>
  </w:style>
  <w:style w:type="character" w:customStyle="1" w:styleId="ListLabel73">
    <w:name w:val="ListLabel 73"/>
    <w:qFormat/>
    <w:rsid w:val="00A0671D"/>
    <w:rPr>
      <w:rFonts w:cs="OpenSymbol"/>
    </w:rPr>
  </w:style>
  <w:style w:type="character" w:customStyle="1" w:styleId="ListLabel74">
    <w:name w:val="ListLabel 74"/>
    <w:qFormat/>
    <w:rsid w:val="00A0671D"/>
    <w:rPr>
      <w:rFonts w:cs="OpenSymbol"/>
    </w:rPr>
  </w:style>
  <w:style w:type="character" w:customStyle="1" w:styleId="ListLabel75">
    <w:name w:val="ListLabel 75"/>
    <w:qFormat/>
    <w:rsid w:val="00A0671D"/>
    <w:rPr>
      <w:rFonts w:cs="OpenSymbol"/>
    </w:rPr>
  </w:style>
  <w:style w:type="character" w:customStyle="1" w:styleId="ListLabel76">
    <w:name w:val="ListLabel 76"/>
    <w:qFormat/>
    <w:rsid w:val="00A0671D"/>
    <w:rPr>
      <w:rFonts w:cs="OpenSymbol"/>
    </w:rPr>
  </w:style>
  <w:style w:type="character" w:customStyle="1" w:styleId="ListLabel77">
    <w:name w:val="ListLabel 77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78">
    <w:name w:val="ListLabel 78"/>
    <w:qFormat/>
    <w:rsid w:val="00A0671D"/>
    <w:rPr>
      <w:rFonts w:cs="OpenSymbol"/>
    </w:rPr>
  </w:style>
  <w:style w:type="character" w:customStyle="1" w:styleId="ListLabel79">
    <w:name w:val="ListLabel 79"/>
    <w:qFormat/>
    <w:rsid w:val="00A0671D"/>
    <w:rPr>
      <w:rFonts w:cs="OpenSymbol"/>
    </w:rPr>
  </w:style>
  <w:style w:type="character" w:customStyle="1" w:styleId="ListLabel80">
    <w:name w:val="ListLabel 80"/>
    <w:qFormat/>
    <w:rsid w:val="00A0671D"/>
    <w:rPr>
      <w:rFonts w:cs="OpenSymbol"/>
    </w:rPr>
  </w:style>
  <w:style w:type="character" w:customStyle="1" w:styleId="ListLabel81">
    <w:name w:val="ListLabel 81"/>
    <w:qFormat/>
    <w:rsid w:val="00A0671D"/>
    <w:rPr>
      <w:rFonts w:cs="OpenSymbol"/>
    </w:rPr>
  </w:style>
  <w:style w:type="character" w:customStyle="1" w:styleId="ListLabel82">
    <w:name w:val="ListLabel 82"/>
    <w:qFormat/>
    <w:rsid w:val="00A0671D"/>
    <w:rPr>
      <w:rFonts w:cs="OpenSymbol"/>
    </w:rPr>
  </w:style>
  <w:style w:type="character" w:customStyle="1" w:styleId="ListLabel83">
    <w:name w:val="ListLabel 83"/>
    <w:qFormat/>
    <w:rsid w:val="00A0671D"/>
    <w:rPr>
      <w:rFonts w:cs="OpenSymbol"/>
    </w:rPr>
  </w:style>
  <w:style w:type="character" w:customStyle="1" w:styleId="ListLabel84">
    <w:name w:val="ListLabel 84"/>
    <w:qFormat/>
    <w:rsid w:val="00A0671D"/>
    <w:rPr>
      <w:rFonts w:cs="OpenSymbol"/>
    </w:rPr>
  </w:style>
  <w:style w:type="character" w:customStyle="1" w:styleId="ListLabel85">
    <w:name w:val="ListLabel 85"/>
    <w:qFormat/>
    <w:rsid w:val="00A0671D"/>
    <w:rPr>
      <w:rFonts w:cs="OpenSymbol"/>
    </w:rPr>
  </w:style>
  <w:style w:type="character" w:customStyle="1" w:styleId="ListLabel86">
    <w:name w:val="ListLabel 86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87">
    <w:name w:val="ListLabel 87"/>
    <w:qFormat/>
    <w:rsid w:val="00A0671D"/>
    <w:rPr>
      <w:rFonts w:cs="OpenSymbol"/>
    </w:rPr>
  </w:style>
  <w:style w:type="character" w:customStyle="1" w:styleId="ListLabel88">
    <w:name w:val="ListLabel 88"/>
    <w:qFormat/>
    <w:rsid w:val="00A0671D"/>
    <w:rPr>
      <w:rFonts w:cs="OpenSymbol"/>
    </w:rPr>
  </w:style>
  <w:style w:type="character" w:customStyle="1" w:styleId="ListLabel89">
    <w:name w:val="ListLabel 89"/>
    <w:qFormat/>
    <w:rsid w:val="00A0671D"/>
    <w:rPr>
      <w:rFonts w:cs="OpenSymbol"/>
    </w:rPr>
  </w:style>
  <w:style w:type="character" w:customStyle="1" w:styleId="ListLabel90">
    <w:name w:val="ListLabel 90"/>
    <w:qFormat/>
    <w:rsid w:val="00A0671D"/>
    <w:rPr>
      <w:rFonts w:cs="OpenSymbol"/>
    </w:rPr>
  </w:style>
  <w:style w:type="character" w:customStyle="1" w:styleId="ListLabel91">
    <w:name w:val="ListLabel 91"/>
    <w:qFormat/>
    <w:rsid w:val="00A0671D"/>
    <w:rPr>
      <w:rFonts w:cs="OpenSymbol"/>
    </w:rPr>
  </w:style>
  <w:style w:type="character" w:customStyle="1" w:styleId="ListLabel92">
    <w:name w:val="ListLabel 92"/>
    <w:qFormat/>
    <w:rsid w:val="00A0671D"/>
    <w:rPr>
      <w:rFonts w:cs="OpenSymbol"/>
    </w:rPr>
  </w:style>
  <w:style w:type="character" w:customStyle="1" w:styleId="ListLabel93">
    <w:name w:val="ListLabel 93"/>
    <w:qFormat/>
    <w:rsid w:val="00A0671D"/>
    <w:rPr>
      <w:rFonts w:cs="OpenSymbol"/>
    </w:rPr>
  </w:style>
  <w:style w:type="character" w:customStyle="1" w:styleId="ListLabel94">
    <w:name w:val="ListLabel 94"/>
    <w:qFormat/>
    <w:rsid w:val="00A0671D"/>
    <w:rPr>
      <w:rFonts w:cs="OpenSymbol"/>
    </w:rPr>
  </w:style>
  <w:style w:type="character" w:customStyle="1" w:styleId="ListLabel95">
    <w:name w:val="ListLabel 95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96">
    <w:name w:val="ListLabel 96"/>
    <w:qFormat/>
    <w:rsid w:val="00A0671D"/>
    <w:rPr>
      <w:rFonts w:cs="OpenSymbol"/>
    </w:rPr>
  </w:style>
  <w:style w:type="character" w:customStyle="1" w:styleId="ListLabel97">
    <w:name w:val="ListLabel 97"/>
    <w:qFormat/>
    <w:rsid w:val="00A0671D"/>
    <w:rPr>
      <w:rFonts w:cs="OpenSymbol"/>
    </w:rPr>
  </w:style>
  <w:style w:type="character" w:customStyle="1" w:styleId="ListLabel98">
    <w:name w:val="ListLabel 98"/>
    <w:qFormat/>
    <w:rsid w:val="00A0671D"/>
    <w:rPr>
      <w:rFonts w:cs="OpenSymbol"/>
    </w:rPr>
  </w:style>
  <w:style w:type="character" w:customStyle="1" w:styleId="ListLabel99">
    <w:name w:val="ListLabel 99"/>
    <w:qFormat/>
    <w:rsid w:val="00A0671D"/>
    <w:rPr>
      <w:rFonts w:cs="OpenSymbol"/>
    </w:rPr>
  </w:style>
  <w:style w:type="character" w:customStyle="1" w:styleId="ListLabel100">
    <w:name w:val="ListLabel 100"/>
    <w:qFormat/>
    <w:rsid w:val="00A0671D"/>
    <w:rPr>
      <w:rFonts w:cs="OpenSymbol"/>
    </w:rPr>
  </w:style>
  <w:style w:type="character" w:customStyle="1" w:styleId="ListLabel101">
    <w:name w:val="ListLabel 101"/>
    <w:qFormat/>
    <w:rsid w:val="00A0671D"/>
    <w:rPr>
      <w:rFonts w:cs="OpenSymbol"/>
    </w:rPr>
  </w:style>
  <w:style w:type="character" w:customStyle="1" w:styleId="ListLabel102">
    <w:name w:val="ListLabel 102"/>
    <w:qFormat/>
    <w:rsid w:val="00A0671D"/>
    <w:rPr>
      <w:rFonts w:cs="OpenSymbol"/>
    </w:rPr>
  </w:style>
  <w:style w:type="character" w:customStyle="1" w:styleId="ListLabel103">
    <w:name w:val="ListLabel 103"/>
    <w:qFormat/>
    <w:rsid w:val="00A0671D"/>
    <w:rPr>
      <w:rFonts w:cs="OpenSymbol"/>
    </w:rPr>
  </w:style>
  <w:style w:type="character" w:customStyle="1" w:styleId="ListLabel104">
    <w:name w:val="ListLabel 104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105">
    <w:name w:val="ListLabel 105"/>
    <w:qFormat/>
    <w:rsid w:val="00A0671D"/>
    <w:rPr>
      <w:rFonts w:cs="OpenSymbol"/>
    </w:rPr>
  </w:style>
  <w:style w:type="character" w:customStyle="1" w:styleId="ListLabel106">
    <w:name w:val="ListLabel 106"/>
    <w:qFormat/>
    <w:rsid w:val="00A0671D"/>
    <w:rPr>
      <w:rFonts w:cs="OpenSymbol"/>
    </w:rPr>
  </w:style>
  <w:style w:type="character" w:customStyle="1" w:styleId="ListLabel107">
    <w:name w:val="ListLabel 107"/>
    <w:qFormat/>
    <w:rsid w:val="00A0671D"/>
    <w:rPr>
      <w:rFonts w:cs="OpenSymbol"/>
    </w:rPr>
  </w:style>
  <w:style w:type="character" w:customStyle="1" w:styleId="ListLabel108">
    <w:name w:val="ListLabel 108"/>
    <w:qFormat/>
    <w:rsid w:val="00A0671D"/>
    <w:rPr>
      <w:rFonts w:cs="OpenSymbol"/>
    </w:rPr>
  </w:style>
  <w:style w:type="character" w:customStyle="1" w:styleId="ListLabel109">
    <w:name w:val="ListLabel 109"/>
    <w:qFormat/>
    <w:rsid w:val="00A0671D"/>
    <w:rPr>
      <w:rFonts w:cs="OpenSymbol"/>
    </w:rPr>
  </w:style>
  <w:style w:type="character" w:customStyle="1" w:styleId="ListLabel110">
    <w:name w:val="ListLabel 110"/>
    <w:qFormat/>
    <w:rsid w:val="00A0671D"/>
    <w:rPr>
      <w:rFonts w:cs="OpenSymbol"/>
    </w:rPr>
  </w:style>
  <w:style w:type="character" w:customStyle="1" w:styleId="ListLabel111">
    <w:name w:val="ListLabel 111"/>
    <w:qFormat/>
    <w:rsid w:val="00A0671D"/>
    <w:rPr>
      <w:rFonts w:cs="OpenSymbol"/>
    </w:rPr>
  </w:style>
  <w:style w:type="character" w:customStyle="1" w:styleId="ListLabel112">
    <w:name w:val="ListLabel 112"/>
    <w:qFormat/>
    <w:rsid w:val="00A0671D"/>
    <w:rPr>
      <w:rFonts w:cs="OpenSymbol"/>
    </w:rPr>
  </w:style>
  <w:style w:type="character" w:customStyle="1" w:styleId="ListLabel113">
    <w:name w:val="ListLabel 113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114">
    <w:name w:val="ListLabel 114"/>
    <w:qFormat/>
    <w:rsid w:val="00A0671D"/>
    <w:rPr>
      <w:rFonts w:cs="OpenSymbol"/>
    </w:rPr>
  </w:style>
  <w:style w:type="character" w:customStyle="1" w:styleId="ListLabel115">
    <w:name w:val="ListLabel 115"/>
    <w:qFormat/>
    <w:rsid w:val="00A0671D"/>
    <w:rPr>
      <w:rFonts w:cs="OpenSymbol"/>
    </w:rPr>
  </w:style>
  <w:style w:type="character" w:customStyle="1" w:styleId="ListLabel116">
    <w:name w:val="ListLabel 116"/>
    <w:qFormat/>
    <w:rsid w:val="00A0671D"/>
    <w:rPr>
      <w:rFonts w:cs="OpenSymbol"/>
    </w:rPr>
  </w:style>
  <w:style w:type="character" w:customStyle="1" w:styleId="ListLabel117">
    <w:name w:val="ListLabel 117"/>
    <w:qFormat/>
    <w:rsid w:val="00A0671D"/>
    <w:rPr>
      <w:rFonts w:cs="OpenSymbol"/>
    </w:rPr>
  </w:style>
  <w:style w:type="character" w:customStyle="1" w:styleId="ListLabel118">
    <w:name w:val="ListLabel 118"/>
    <w:qFormat/>
    <w:rsid w:val="00A0671D"/>
    <w:rPr>
      <w:rFonts w:cs="OpenSymbol"/>
    </w:rPr>
  </w:style>
  <w:style w:type="character" w:customStyle="1" w:styleId="ListLabel119">
    <w:name w:val="ListLabel 119"/>
    <w:qFormat/>
    <w:rsid w:val="00A0671D"/>
    <w:rPr>
      <w:rFonts w:cs="OpenSymbol"/>
    </w:rPr>
  </w:style>
  <w:style w:type="character" w:customStyle="1" w:styleId="ListLabel120">
    <w:name w:val="ListLabel 120"/>
    <w:qFormat/>
    <w:rsid w:val="00A0671D"/>
    <w:rPr>
      <w:rFonts w:cs="OpenSymbol"/>
    </w:rPr>
  </w:style>
  <w:style w:type="character" w:customStyle="1" w:styleId="ListLabel121">
    <w:name w:val="ListLabel 121"/>
    <w:qFormat/>
    <w:rsid w:val="00A0671D"/>
    <w:rPr>
      <w:rFonts w:cs="OpenSymbol"/>
    </w:rPr>
  </w:style>
  <w:style w:type="character" w:customStyle="1" w:styleId="ListLabel122">
    <w:name w:val="ListLabel 122"/>
    <w:qFormat/>
    <w:rPr>
      <w:rFonts w:cs="OpenSymbol"/>
      <w:b w:val="0"/>
      <w:sz w:val="24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  <w:b w:val="0"/>
      <w:sz w:val="24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  <w:b w:val="0"/>
      <w:sz w:val="24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  <w:b w:val="0"/>
      <w:sz w:val="24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  <w:b w:val="0"/>
      <w:sz w:val="24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  <w:b w:val="0"/>
      <w:sz w:val="24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paragraph" w:customStyle="1" w:styleId="a0">
    <w:name w:val="Заголовок"/>
    <w:basedOn w:val="a"/>
    <w:next w:val="a8"/>
    <w:qFormat/>
    <w:rsid w:val="00A067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46515E"/>
    <w:pPr>
      <w:overflowPunct w:val="0"/>
      <w:textAlignment w:val="auto"/>
    </w:pPr>
    <w:rPr>
      <w:sz w:val="28"/>
      <w:szCs w:val="24"/>
    </w:rPr>
  </w:style>
  <w:style w:type="paragraph" w:styleId="a9">
    <w:name w:val="List"/>
    <w:basedOn w:val="a8"/>
    <w:rsid w:val="00A0671D"/>
    <w:rPr>
      <w:rFonts w:cs="Mangal"/>
    </w:rPr>
  </w:style>
  <w:style w:type="paragraph" w:customStyle="1" w:styleId="1">
    <w:name w:val="Название объекта1"/>
    <w:basedOn w:val="a"/>
    <w:qFormat/>
    <w:rsid w:val="00A0671D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A0671D"/>
    <w:pPr>
      <w:suppressLineNumbers/>
    </w:pPr>
    <w:rPr>
      <w:rFonts w:cs="Mangal"/>
    </w:rPr>
  </w:style>
  <w:style w:type="paragraph" w:styleId="ab">
    <w:name w:val="caption"/>
    <w:basedOn w:val="a"/>
    <w:uiPriority w:val="35"/>
    <w:unhideWhenUsed/>
    <w:qFormat/>
    <w:rsid w:val="0046515E"/>
    <w:pPr>
      <w:jc w:val="center"/>
    </w:pPr>
    <w:rPr>
      <w:b/>
      <w:bCs/>
    </w:rPr>
  </w:style>
  <w:style w:type="paragraph" w:styleId="ac">
    <w:name w:val="No Spacing"/>
    <w:uiPriority w:val="1"/>
    <w:qFormat/>
    <w:rsid w:val="0046515E"/>
    <w:pPr>
      <w:textAlignment w:val="baseline"/>
    </w:pPr>
    <w:rPr>
      <w:rFonts w:ascii="Times NRC Cyril" w:eastAsia="Times New Roman" w:hAnsi="Times NRC Cyril" w:cs="Times New Roman"/>
      <w:color w:val="00000A"/>
      <w:sz w:val="28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FB1C6A"/>
    <w:pPr>
      <w:overflowPunct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e">
    <w:name w:val="Содержимое таблицы"/>
    <w:basedOn w:val="a"/>
    <w:qFormat/>
    <w:rsid w:val="00A0671D"/>
  </w:style>
  <w:style w:type="paragraph" w:customStyle="1" w:styleId="af">
    <w:name w:val="Заголовок таблицы"/>
    <w:basedOn w:val="ae"/>
    <w:qFormat/>
    <w:rsid w:val="00A0671D"/>
  </w:style>
  <w:style w:type="paragraph" w:customStyle="1" w:styleId="Default">
    <w:name w:val="Default"/>
    <w:qFormat/>
    <w:rsid w:val="00A0671D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Style2">
    <w:name w:val="Style2"/>
    <w:basedOn w:val="a"/>
    <w:qFormat/>
    <w:rsid w:val="00A0671D"/>
    <w:pPr>
      <w:widowControl w:val="0"/>
      <w:spacing w:line="337" w:lineRule="exact"/>
      <w:ind w:firstLine="610"/>
      <w:jc w:val="both"/>
    </w:pPr>
    <w:rPr>
      <w:szCs w:val="24"/>
    </w:rPr>
  </w:style>
  <w:style w:type="paragraph" w:customStyle="1" w:styleId="ConsPlusNormal">
    <w:name w:val="ConsPlusNormal"/>
    <w:qFormat/>
    <w:rsid w:val="00A0671D"/>
    <w:pPr>
      <w:widowControl w:val="0"/>
    </w:pPr>
    <w:rPr>
      <w:rFonts w:ascii="Calibri" w:eastAsia="Courier New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A0671D"/>
    <w:pPr>
      <w:widowControl w:val="0"/>
    </w:pPr>
    <w:rPr>
      <w:rFonts w:ascii="Calibri" w:eastAsia="Courier New" w:hAnsi="Calibri" w:cs="Calibri"/>
      <w:b/>
      <w:color w:val="00000A"/>
      <w:sz w:val="22"/>
      <w:szCs w:val="20"/>
      <w:lang w:eastAsia="ru-RU"/>
    </w:rPr>
  </w:style>
  <w:style w:type="paragraph" w:customStyle="1" w:styleId="txt">
    <w:name w:val="txt"/>
    <w:basedOn w:val="a"/>
    <w:qFormat/>
    <w:rsid w:val="00A0671D"/>
    <w:pPr>
      <w:spacing w:before="280" w:after="2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en-US" w:eastAsia="ru-RU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qFormat/>
    <w:rsid w:val="00A0671D"/>
  </w:style>
  <w:style w:type="paragraph" w:customStyle="1" w:styleId="21">
    <w:name w:val="Заголовок 21"/>
    <w:basedOn w:val="a0"/>
    <w:qFormat/>
    <w:rsid w:val="00A0671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31">
    <w:name w:val="Заголовок 31"/>
    <w:basedOn w:val="a0"/>
    <w:qFormat/>
    <w:rsid w:val="00A0671D"/>
  </w:style>
  <w:style w:type="paragraph" w:customStyle="1" w:styleId="61">
    <w:name w:val="Заголовок 61"/>
    <w:basedOn w:val="a0"/>
    <w:qFormat/>
    <w:rsid w:val="00A0671D"/>
    <w:pPr>
      <w:numPr>
        <w:ilvl w:val="5"/>
        <w:numId w:val="1"/>
      </w:num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customStyle="1" w:styleId="a4">
    <w:name w:val="Основной текст Знак"/>
    <w:basedOn w:val="a1"/>
    <w:semiHidden/>
    <w:qFormat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ListLabel1">
    <w:name w:val="ListLabel 1"/>
    <w:qFormat/>
    <w:rsid w:val="00A0671D"/>
    <w:rPr>
      <w:b w:val="0"/>
      <w:lang w:val="ru-RU"/>
    </w:rPr>
  </w:style>
  <w:style w:type="character" w:customStyle="1" w:styleId="ListLabel2">
    <w:name w:val="ListLabel 2"/>
    <w:qFormat/>
    <w:rsid w:val="00A0671D"/>
    <w:rPr>
      <w:sz w:val="28"/>
    </w:rPr>
  </w:style>
  <w:style w:type="character" w:customStyle="1" w:styleId="ListLabel3">
    <w:name w:val="ListLabel 3"/>
    <w:qFormat/>
    <w:rsid w:val="00A0671D"/>
    <w:rPr>
      <w:rFonts w:cs="Courier New"/>
    </w:rPr>
  </w:style>
  <w:style w:type="character" w:customStyle="1" w:styleId="ListLabel4">
    <w:name w:val="ListLabel 4"/>
    <w:qFormat/>
    <w:rsid w:val="00A0671D"/>
    <w:rPr>
      <w:rFonts w:cs="Courier New"/>
    </w:rPr>
  </w:style>
  <w:style w:type="character" w:customStyle="1" w:styleId="ListLabel5">
    <w:name w:val="ListLabel 5"/>
    <w:qFormat/>
    <w:rsid w:val="00A0671D"/>
    <w:rPr>
      <w:rFonts w:cs="Courier New"/>
    </w:rPr>
  </w:style>
  <w:style w:type="character" w:customStyle="1" w:styleId="ListLabel6">
    <w:name w:val="ListLabel 6"/>
    <w:qFormat/>
    <w:rsid w:val="00A0671D"/>
    <w:rPr>
      <w:sz w:val="28"/>
    </w:rPr>
  </w:style>
  <w:style w:type="character" w:customStyle="1" w:styleId="ListLabel7">
    <w:name w:val="ListLabel 7"/>
    <w:qFormat/>
    <w:rsid w:val="00A0671D"/>
    <w:rPr>
      <w:rFonts w:cs="Courier New"/>
    </w:rPr>
  </w:style>
  <w:style w:type="character" w:customStyle="1" w:styleId="ListLabel8">
    <w:name w:val="ListLabel 8"/>
    <w:qFormat/>
    <w:rsid w:val="00A0671D"/>
    <w:rPr>
      <w:rFonts w:cs="Courier New"/>
    </w:rPr>
  </w:style>
  <w:style w:type="character" w:customStyle="1" w:styleId="ListLabel9">
    <w:name w:val="ListLabel 9"/>
    <w:qFormat/>
    <w:rsid w:val="00A0671D"/>
    <w:rPr>
      <w:rFonts w:cs="Courier New"/>
    </w:rPr>
  </w:style>
  <w:style w:type="character" w:customStyle="1" w:styleId="ListLabel10">
    <w:name w:val="ListLabel 10"/>
    <w:qFormat/>
    <w:rsid w:val="00A0671D"/>
    <w:rPr>
      <w:sz w:val="28"/>
    </w:rPr>
  </w:style>
  <w:style w:type="character" w:customStyle="1" w:styleId="ListLabel11">
    <w:name w:val="ListLabel 11"/>
    <w:qFormat/>
    <w:rsid w:val="00A0671D"/>
    <w:rPr>
      <w:rFonts w:cs="Courier New"/>
    </w:rPr>
  </w:style>
  <w:style w:type="character" w:customStyle="1" w:styleId="ListLabel12">
    <w:name w:val="ListLabel 12"/>
    <w:qFormat/>
    <w:rsid w:val="00A0671D"/>
    <w:rPr>
      <w:rFonts w:cs="Courier New"/>
    </w:rPr>
  </w:style>
  <w:style w:type="character" w:customStyle="1" w:styleId="ListLabel13">
    <w:name w:val="ListLabel 13"/>
    <w:qFormat/>
    <w:rsid w:val="00A0671D"/>
    <w:rPr>
      <w:rFonts w:cs="Courier New"/>
    </w:rPr>
  </w:style>
  <w:style w:type="character" w:customStyle="1" w:styleId="-">
    <w:name w:val="Интернет-ссылка"/>
    <w:rsid w:val="00A0671D"/>
    <w:rPr>
      <w:color w:val="000080"/>
      <w:u w:val="single"/>
    </w:rPr>
  </w:style>
  <w:style w:type="character" w:customStyle="1" w:styleId="a5">
    <w:name w:val="Выделение жирным"/>
    <w:qFormat/>
    <w:rsid w:val="00A0671D"/>
    <w:rPr>
      <w:b/>
      <w:bCs/>
    </w:rPr>
  </w:style>
  <w:style w:type="character" w:customStyle="1" w:styleId="a6">
    <w:name w:val="Маркеры списка"/>
    <w:qFormat/>
    <w:rsid w:val="00A0671D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A0671D"/>
  </w:style>
  <w:style w:type="character" w:customStyle="1" w:styleId="ListLabel14">
    <w:name w:val="ListLabel 14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15">
    <w:name w:val="ListLabel 15"/>
    <w:qFormat/>
    <w:rsid w:val="00A0671D"/>
    <w:rPr>
      <w:rFonts w:cs="OpenSymbol"/>
    </w:rPr>
  </w:style>
  <w:style w:type="character" w:customStyle="1" w:styleId="ListLabel16">
    <w:name w:val="ListLabel 16"/>
    <w:qFormat/>
    <w:rsid w:val="00A0671D"/>
    <w:rPr>
      <w:rFonts w:cs="OpenSymbol"/>
    </w:rPr>
  </w:style>
  <w:style w:type="character" w:customStyle="1" w:styleId="ListLabel17">
    <w:name w:val="ListLabel 17"/>
    <w:qFormat/>
    <w:rsid w:val="00A0671D"/>
    <w:rPr>
      <w:rFonts w:cs="OpenSymbol"/>
    </w:rPr>
  </w:style>
  <w:style w:type="character" w:customStyle="1" w:styleId="ListLabel18">
    <w:name w:val="ListLabel 18"/>
    <w:qFormat/>
    <w:rsid w:val="00A0671D"/>
    <w:rPr>
      <w:rFonts w:cs="OpenSymbol"/>
    </w:rPr>
  </w:style>
  <w:style w:type="character" w:customStyle="1" w:styleId="ListLabel19">
    <w:name w:val="ListLabel 19"/>
    <w:qFormat/>
    <w:rsid w:val="00A0671D"/>
    <w:rPr>
      <w:rFonts w:cs="OpenSymbol"/>
    </w:rPr>
  </w:style>
  <w:style w:type="character" w:customStyle="1" w:styleId="ListLabel20">
    <w:name w:val="ListLabel 20"/>
    <w:qFormat/>
    <w:rsid w:val="00A0671D"/>
    <w:rPr>
      <w:rFonts w:cs="OpenSymbol"/>
    </w:rPr>
  </w:style>
  <w:style w:type="character" w:customStyle="1" w:styleId="ListLabel21">
    <w:name w:val="ListLabel 21"/>
    <w:qFormat/>
    <w:rsid w:val="00A0671D"/>
    <w:rPr>
      <w:rFonts w:cs="OpenSymbol"/>
    </w:rPr>
  </w:style>
  <w:style w:type="character" w:customStyle="1" w:styleId="ListLabel22">
    <w:name w:val="ListLabel 22"/>
    <w:qFormat/>
    <w:rsid w:val="00A0671D"/>
    <w:rPr>
      <w:rFonts w:cs="OpenSymbol"/>
    </w:rPr>
  </w:style>
  <w:style w:type="character" w:customStyle="1" w:styleId="ListLabel23">
    <w:name w:val="ListLabel 23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24">
    <w:name w:val="ListLabel 24"/>
    <w:qFormat/>
    <w:rsid w:val="00A0671D"/>
    <w:rPr>
      <w:rFonts w:cs="OpenSymbol"/>
    </w:rPr>
  </w:style>
  <w:style w:type="character" w:customStyle="1" w:styleId="ListLabel25">
    <w:name w:val="ListLabel 25"/>
    <w:qFormat/>
    <w:rsid w:val="00A0671D"/>
    <w:rPr>
      <w:rFonts w:cs="OpenSymbol"/>
    </w:rPr>
  </w:style>
  <w:style w:type="character" w:customStyle="1" w:styleId="ListLabel26">
    <w:name w:val="ListLabel 26"/>
    <w:qFormat/>
    <w:rsid w:val="00A0671D"/>
    <w:rPr>
      <w:rFonts w:cs="OpenSymbol"/>
    </w:rPr>
  </w:style>
  <w:style w:type="character" w:customStyle="1" w:styleId="ListLabel27">
    <w:name w:val="ListLabel 27"/>
    <w:qFormat/>
    <w:rsid w:val="00A0671D"/>
    <w:rPr>
      <w:rFonts w:cs="OpenSymbol"/>
    </w:rPr>
  </w:style>
  <w:style w:type="character" w:customStyle="1" w:styleId="ListLabel28">
    <w:name w:val="ListLabel 28"/>
    <w:qFormat/>
    <w:rsid w:val="00A0671D"/>
    <w:rPr>
      <w:rFonts w:cs="OpenSymbol"/>
    </w:rPr>
  </w:style>
  <w:style w:type="character" w:customStyle="1" w:styleId="ListLabel29">
    <w:name w:val="ListLabel 29"/>
    <w:qFormat/>
    <w:rsid w:val="00A0671D"/>
    <w:rPr>
      <w:rFonts w:cs="OpenSymbol"/>
    </w:rPr>
  </w:style>
  <w:style w:type="character" w:customStyle="1" w:styleId="ListLabel30">
    <w:name w:val="ListLabel 30"/>
    <w:qFormat/>
    <w:rsid w:val="00A0671D"/>
    <w:rPr>
      <w:rFonts w:cs="OpenSymbol"/>
    </w:rPr>
  </w:style>
  <w:style w:type="character" w:customStyle="1" w:styleId="ListLabel31">
    <w:name w:val="ListLabel 31"/>
    <w:qFormat/>
    <w:rsid w:val="00A0671D"/>
    <w:rPr>
      <w:rFonts w:cs="OpenSymbol"/>
    </w:rPr>
  </w:style>
  <w:style w:type="character" w:customStyle="1" w:styleId="ListLabel32">
    <w:name w:val="ListLabel 32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33">
    <w:name w:val="ListLabel 33"/>
    <w:qFormat/>
    <w:rsid w:val="00A0671D"/>
    <w:rPr>
      <w:rFonts w:cs="OpenSymbol"/>
    </w:rPr>
  </w:style>
  <w:style w:type="character" w:customStyle="1" w:styleId="ListLabel34">
    <w:name w:val="ListLabel 34"/>
    <w:qFormat/>
    <w:rsid w:val="00A0671D"/>
    <w:rPr>
      <w:rFonts w:cs="OpenSymbol"/>
    </w:rPr>
  </w:style>
  <w:style w:type="character" w:customStyle="1" w:styleId="ListLabel35">
    <w:name w:val="ListLabel 35"/>
    <w:qFormat/>
    <w:rsid w:val="00A0671D"/>
    <w:rPr>
      <w:rFonts w:cs="OpenSymbol"/>
    </w:rPr>
  </w:style>
  <w:style w:type="character" w:customStyle="1" w:styleId="ListLabel36">
    <w:name w:val="ListLabel 36"/>
    <w:qFormat/>
    <w:rsid w:val="00A0671D"/>
    <w:rPr>
      <w:rFonts w:cs="OpenSymbol"/>
    </w:rPr>
  </w:style>
  <w:style w:type="character" w:customStyle="1" w:styleId="ListLabel37">
    <w:name w:val="ListLabel 37"/>
    <w:qFormat/>
    <w:rsid w:val="00A0671D"/>
    <w:rPr>
      <w:rFonts w:cs="OpenSymbol"/>
    </w:rPr>
  </w:style>
  <w:style w:type="character" w:customStyle="1" w:styleId="ListLabel38">
    <w:name w:val="ListLabel 38"/>
    <w:qFormat/>
    <w:rsid w:val="00A0671D"/>
    <w:rPr>
      <w:rFonts w:cs="OpenSymbol"/>
    </w:rPr>
  </w:style>
  <w:style w:type="character" w:customStyle="1" w:styleId="ListLabel39">
    <w:name w:val="ListLabel 39"/>
    <w:qFormat/>
    <w:rsid w:val="00A0671D"/>
    <w:rPr>
      <w:rFonts w:cs="OpenSymbol"/>
    </w:rPr>
  </w:style>
  <w:style w:type="character" w:customStyle="1" w:styleId="ListLabel40">
    <w:name w:val="ListLabel 40"/>
    <w:qFormat/>
    <w:rsid w:val="00A0671D"/>
    <w:rPr>
      <w:rFonts w:cs="OpenSymbol"/>
    </w:rPr>
  </w:style>
  <w:style w:type="character" w:customStyle="1" w:styleId="ListLabel41">
    <w:name w:val="ListLabel 41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42">
    <w:name w:val="ListLabel 42"/>
    <w:qFormat/>
    <w:rsid w:val="00A0671D"/>
    <w:rPr>
      <w:rFonts w:cs="OpenSymbol"/>
    </w:rPr>
  </w:style>
  <w:style w:type="character" w:customStyle="1" w:styleId="ListLabel43">
    <w:name w:val="ListLabel 43"/>
    <w:qFormat/>
    <w:rsid w:val="00A0671D"/>
    <w:rPr>
      <w:rFonts w:cs="OpenSymbol"/>
    </w:rPr>
  </w:style>
  <w:style w:type="character" w:customStyle="1" w:styleId="ListLabel44">
    <w:name w:val="ListLabel 44"/>
    <w:qFormat/>
    <w:rsid w:val="00A0671D"/>
    <w:rPr>
      <w:rFonts w:cs="OpenSymbol"/>
    </w:rPr>
  </w:style>
  <w:style w:type="character" w:customStyle="1" w:styleId="ListLabel45">
    <w:name w:val="ListLabel 45"/>
    <w:qFormat/>
    <w:rsid w:val="00A0671D"/>
    <w:rPr>
      <w:rFonts w:cs="OpenSymbol"/>
    </w:rPr>
  </w:style>
  <w:style w:type="character" w:customStyle="1" w:styleId="ListLabel46">
    <w:name w:val="ListLabel 46"/>
    <w:qFormat/>
    <w:rsid w:val="00A0671D"/>
    <w:rPr>
      <w:rFonts w:cs="OpenSymbol"/>
    </w:rPr>
  </w:style>
  <w:style w:type="character" w:customStyle="1" w:styleId="ListLabel47">
    <w:name w:val="ListLabel 47"/>
    <w:qFormat/>
    <w:rsid w:val="00A0671D"/>
    <w:rPr>
      <w:rFonts w:cs="OpenSymbol"/>
    </w:rPr>
  </w:style>
  <w:style w:type="character" w:customStyle="1" w:styleId="ListLabel48">
    <w:name w:val="ListLabel 48"/>
    <w:qFormat/>
    <w:rsid w:val="00A0671D"/>
    <w:rPr>
      <w:rFonts w:cs="OpenSymbol"/>
    </w:rPr>
  </w:style>
  <w:style w:type="character" w:customStyle="1" w:styleId="ListLabel49">
    <w:name w:val="ListLabel 49"/>
    <w:qFormat/>
    <w:rsid w:val="00A0671D"/>
    <w:rPr>
      <w:rFonts w:cs="OpenSymbol"/>
    </w:rPr>
  </w:style>
  <w:style w:type="character" w:customStyle="1" w:styleId="ListLabel50">
    <w:name w:val="ListLabel 50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51">
    <w:name w:val="ListLabel 51"/>
    <w:qFormat/>
    <w:rsid w:val="00A0671D"/>
    <w:rPr>
      <w:rFonts w:cs="OpenSymbol"/>
    </w:rPr>
  </w:style>
  <w:style w:type="character" w:customStyle="1" w:styleId="ListLabel52">
    <w:name w:val="ListLabel 52"/>
    <w:qFormat/>
    <w:rsid w:val="00A0671D"/>
    <w:rPr>
      <w:rFonts w:cs="OpenSymbol"/>
    </w:rPr>
  </w:style>
  <w:style w:type="character" w:customStyle="1" w:styleId="ListLabel53">
    <w:name w:val="ListLabel 53"/>
    <w:qFormat/>
    <w:rsid w:val="00A0671D"/>
    <w:rPr>
      <w:rFonts w:cs="OpenSymbol"/>
    </w:rPr>
  </w:style>
  <w:style w:type="character" w:customStyle="1" w:styleId="ListLabel54">
    <w:name w:val="ListLabel 54"/>
    <w:qFormat/>
    <w:rsid w:val="00A0671D"/>
    <w:rPr>
      <w:rFonts w:cs="OpenSymbol"/>
    </w:rPr>
  </w:style>
  <w:style w:type="character" w:customStyle="1" w:styleId="ListLabel55">
    <w:name w:val="ListLabel 55"/>
    <w:qFormat/>
    <w:rsid w:val="00A0671D"/>
    <w:rPr>
      <w:rFonts w:cs="OpenSymbol"/>
    </w:rPr>
  </w:style>
  <w:style w:type="character" w:customStyle="1" w:styleId="ListLabel56">
    <w:name w:val="ListLabel 56"/>
    <w:qFormat/>
    <w:rsid w:val="00A0671D"/>
    <w:rPr>
      <w:rFonts w:cs="OpenSymbol"/>
    </w:rPr>
  </w:style>
  <w:style w:type="character" w:customStyle="1" w:styleId="ListLabel57">
    <w:name w:val="ListLabel 57"/>
    <w:qFormat/>
    <w:rsid w:val="00A0671D"/>
    <w:rPr>
      <w:rFonts w:cs="OpenSymbol"/>
    </w:rPr>
  </w:style>
  <w:style w:type="character" w:customStyle="1" w:styleId="ListLabel58">
    <w:name w:val="ListLabel 58"/>
    <w:qFormat/>
    <w:rsid w:val="00A0671D"/>
    <w:rPr>
      <w:rFonts w:cs="OpenSymbol"/>
    </w:rPr>
  </w:style>
  <w:style w:type="character" w:customStyle="1" w:styleId="ListLabel59">
    <w:name w:val="ListLabel 59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60">
    <w:name w:val="ListLabel 60"/>
    <w:qFormat/>
    <w:rsid w:val="00A0671D"/>
    <w:rPr>
      <w:rFonts w:cs="OpenSymbol"/>
    </w:rPr>
  </w:style>
  <w:style w:type="character" w:customStyle="1" w:styleId="ListLabel61">
    <w:name w:val="ListLabel 61"/>
    <w:qFormat/>
    <w:rsid w:val="00A0671D"/>
    <w:rPr>
      <w:rFonts w:cs="OpenSymbol"/>
    </w:rPr>
  </w:style>
  <w:style w:type="character" w:customStyle="1" w:styleId="ListLabel62">
    <w:name w:val="ListLabel 62"/>
    <w:qFormat/>
    <w:rsid w:val="00A0671D"/>
    <w:rPr>
      <w:rFonts w:cs="OpenSymbol"/>
    </w:rPr>
  </w:style>
  <w:style w:type="character" w:customStyle="1" w:styleId="ListLabel63">
    <w:name w:val="ListLabel 63"/>
    <w:qFormat/>
    <w:rsid w:val="00A0671D"/>
    <w:rPr>
      <w:rFonts w:cs="OpenSymbol"/>
    </w:rPr>
  </w:style>
  <w:style w:type="character" w:customStyle="1" w:styleId="ListLabel64">
    <w:name w:val="ListLabel 64"/>
    <w:qFormat/>
    <w:rsid w:val="00A0671D"/>
    <w:rPr>
      <w:rFonts w:cs="OpenSymbol"/>
    </w:rPr>
  </w:style>
  <w:style w:type="character" w:customStyle="1" w:styleId="ListLabel65">
    <w:name w:val="ListLabel 65"/>
    <w:qFormat/>
    <w:rsid w:val="00A0671D"/>
    <w:rPr>
      <w:rFonts w:cs="OpenSymbol"/>
    </w:rPr>
  </w:style>
  <w:style w:type="character" w:customStyle="1" w:styleId="ListLabel66">
    <w:name w:val="ListLabel 66"/>
    <w:qFormat/>
    <w:rsid w:val="00A0671D"/>
    <w:rPr>
      <w:rFonts w:cs="OpenSymbol"/>
    </w:rPr>
  </w:style>
  <w:style w:type="character" w:customStyle="1" w:styleId="ListLabel67">
    <w:name w:val="ListLabel 67"/>
    <w:qFormat/>
    <w:rsid w:val="00A0671D"/>
    <w:rPr>
      <w:rFonts w:cs="OpenSymbol"/>
    </w:rPr>
  </w:style>
  <w:style w:type="character" w:customStyle="1" w:styleId="ListLabel68">
    <w:name w:val="ListLabel 68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69">
    <w:name w:val="ListLabel 69"/>
    <w:qFormat/>
    <w:rsid w:val="00A0671D"/>
    <w:rPr>
      <w:rFonts w:cs="OpenSymbol"/>
    </w:rPr>
  </w:style>
  <w:style w:type="character" w:customStyle="1" w:styleId="ListLabel70">
    <w:name w:val="ListLabel 70"/>
    <w:qFormat/>
    <w:rsid w:val="00A0671D"/>
    <w:rPr>
      <w:rFonts w:cs="OpenSymbol"/>
    </w:rPr>
  </w:style>
  <w:style w:type="character" w:customStyle="1" w:styleId="ListLabel71">
    <w:name w:val="ListLabel 71"/>
    <w:qFormat/>
    <w:rsid w:val="00A0671D"/>
    <w:rPr>
      <w:rFonts w:cs="OpenSymbol"/>
    </w:rPr>
  </w:style>
  <w:style w:type="character" w:customStyle="1" w:styleId="ListLabel72">
    <w:name w:val="ListLabel 72"/>
    <w:qFormat/>
    <w:rsid w:val="00A0671D"/>
    <w:rPr>
      <w:rFonts w:cs="OpenSymbol"/>
    </w:rPr>
  </w:style>
  <w:style w:type="character" w:customStyle="1" w:styleId="ListLabel73">
    <w:name w:val="ListLabel 73"/>
    <w:qFormat/>
    <w:rsid w:val="00A0671D"/>
    <w:rPr>
      <w:rFonts w:cs="OpenSymbol"/>
    </w:rPr>
  </w:style>
  <w:style w:type="character" w:customStyle="1" w:styleId="ListLabel74">
    <w:name w:val="ListLabel 74"/>
    <w:qFormat/>
    <w:rsid w:val="00A0671D"/>
    <w:rPr>
      <w:rFonts w:cs="OpenSymbol"/>
    </w:rPr>
  </w:style>
  <w:style w:type="character" w:customStyle="1" w:styleId="ListLabel75">
    <w:name w:val="ListLabel 75"/>
    <w:qFormat/>
    <w:rsid w:val="00A0671D"/>
    <w:rPr>
      <w:rFonts w:cs="OpenSymbol"/>
    </w:rPr>
  </w:style>
  <w:style w:type="character" w:customStyle="1" w:styleId="ListLabel76">
    <w:name w:val="ListLabel 76"/>
    <w:qFormat/>
    <w:rsid w:val="00A0671D"/>
    <w:rPr>
      <w:rFonts w:cs="OpenSymbol"/>
    </w:rPr>
  </w:style>
  <w:style w:type="character" w:customStyle="1" w:styleId="ListLabel77">
    <w:name w:val="ListLabel 77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78">
    <w:name w:val="ListLabel 78"/>
    <w:qFormat/>
    <w:rsid w:val="00A0671D"/>
    <w:rPr>
      <w:rFonts w:cs="OpenSymbol"/>
    </w:rPr>
  </w:style>
  <w:style w:type="character" w:customStyle="1" w:styleId="ListLabel79">
    <w:name w:val="ListLabel 79"/>
    <w:qFormat/>
    <w:rsid w:val="00A0671D"/>
    <w:rPr>
      <w:rFonts w:cs="OpenSymbol"/>
    </w:rPr>
  </w:style>
  <w:style w:type="character" w:customStyle="1" w:styleId="ListLabel80">
    <w:name w:val="ListLabel 80"/>
    <w:qFormat/>
    <w:rsid w:val="00A0671D"/>
    <w:rPr>
      <w:rFonts w:cs="OpenSymbol"/>
    </w:rPr>
  </w:style>
  <w:style w:type="character" w:customStyle="1" w:styleId="ListLabel81">
    <w:name w:val="ListLabel 81"/>
    <w:qFormat/>
    <w:rsid w:val="00A0671D"/>
    <w:rPr>
      <w:rFonts w:cs="OpenSymbol"/>
    </w:rPr>
  </w:style>
  <w:style w:type="character" w:customStyle="1" w:styleId="ListLabel82">
    <w:name w:val="ListLabel 82"/>
    <w:qFormat/>
    <w:rsid w:val="00A0671D"/>
    <w:rPr>
      <w:rFonts w:cs="OpenSymbol"/>
    </w:rPr>
  </w:style>
  <w:style w:type="character" w:customStyle="1" w:styleId="ListLabel83">
    <w:name w:val="ListLabel 83"/>
    <w:qFormat/>
    <w:rsid w:val="00A0671D"/>
    <w:rPr>
      <w:rFonts w:cs="OpenSymbol"/>
    </w:rPr>
  </w:style>
  <w:style w:type="character" w:customStyle="1" w:styleId="ListLabel84">
    <w:name w:val="ListLabel 84"/>
    <w:qFormat/>
    <w:rsid w:val="00A0671D"/>
    <w:rPr>
      <w:rFonts w:cs="OpenSymbol"/>
    </w:rPr>
  </w:style>
  <w:style w:type="character" w:customStyle="1" w:styleId="ListLabel85">
    <w:name w:val="ListLabel 85"/>
    <w:qFormat/>
    <w:rsid w:val="00A0671D"/>
    <w:rPr>
      <w:rFonts w:cs="OpenSymbol"/>
    </w:rPr>
  </w:style>
  <w:style w:type="character" w:customStyle="1" w:styleId="ListLabel86">
    <w:name w:val="ListLabel 86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87">
    <w:name w:val="ListLabel 87"/>
    <w:qFormat/>
    <w:rsid w:val="00A0671D"/>
    <w:rPr>
      <w:rFonts w:cs="OpenSymbol"/>
    </w:rPr>
  </w:style>
  <w:style w:type="character" w:customStyle="1" w:styleId="ListLabel88">
    <w:name w:val="ListLabel 88"/>
    <w:qFormat/>
    <w:rsid w:val="00A0671D"/>
    <w:rPr>
      <w:rFonts w:cs="OpenSymbol"/>
    </w:rPr>
  </w:style>
  <w:style w:type="character" w:customStyle="1" w:styleId="ListLabel89">
    <w:name w:val="ListLabel 89"/>
    <w:qFormat/>
    <w:rsid w:val="00A0671D"/>
    <w:rPr>
      <w:rFonts w:cs="OpenSymbol"/>
    </w:rPr>
  </w:style>
  <w:style w:type="character" w:customStyle="1" w:styleId="ListLabel90">
    <w:name w:val="ListLabel 90"/>
    <w:qFormat/>
    <w:rsid w:val="00A0671D"/>
    <w:rPr>
      <w:rFonts w:cs="OpenSymbol"/>
    </w:rPr>
  </w:style>
  <w:style w:type="character" w:customStyle="1" w:styleId="ListLabel91">
    <w:name w:val="ListLabel 91"/>
    <w:qFormat/>
    <w:rsid w:val="00A0671D"/>
    <w:rPr>
      <w:rFonts w:cs="OpenSymbol"/>
    </w:rPr>
  </w:style>
  <w:style w:type="character" w:customStyle="1" w:styleId="ListLabel92">
    <w:name w:val="ListLabel 92"/>
    <w:qFormat/>
    <w:rsid w:val="00A0671D"/>
    <w:rPr>
      <w:rFonts w:cs="OpenSymbol"/>
    </w:rPr>
  </w:style>
  <w:style w:type="character" w:customStyle="1" w:styleId="ListLabel93">
    <w:name w:val="ListLabel 93"/>
    <w:qFormat/>
    <w:rsid w:val="00A0671D"/>
    <w:rPr>
      <w:rFonts w:cs="OpenSymbol"/>
    </w:rPr>
  </w:style>
  <w:style w:type="character" w:customStyle="1" w:styleId="ListLabel94">
    <w:name w:val="ListLabel 94"/>
    <w:qFormat/>
    <w:rsid w:val="00A0671D"/>
    <w:rPr>
      <w:rFonts w:cs="OpenSymbol"/>
    </w:rPr>
  </w:style>
  <w:style w:type="character" w:customStyle="1" w:styleId="ListLabel95">
    <w:name w:val="ListLabel 95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96">
    <w:name w:val="ListLabel 96"/>
    <w:qFormat/>
    <w:rsid w:val="00A0671D"/>
    <w:rPr>
      <w:rFonts w:cs="OpenSymbol"/>
    </w:rPr>
  </w:style>
  <w:style w:type="character" w:customStyle="1" w:styleId="ListLabel97">
    <w:name w:val="ListLabel 97"/>
    <w:qFormat/>
    <w:rsid w:val="00A0671D"/>
    <w:rPr>
      <w:rFonts w:cs="OpenSymbol"/>
    </w:rPr>
  </w:style>
  <w:style w:type="character" w:customStyle="1" w:styleId="ListLabel98">
    <w:name w:val="ListLabel 98"/>
    <w:qFormat/>
    <w:rsid w:val="00A0671D"/>
    <w:rPr>
      <w:rFonts w:cs="OpenSymbol"/>
    </w:rPr>
  </w:style>
  <w:style w:type="character" w:customStyle="1" w:styleId="ListLabel99">
    <w:name w:val="ListLabel 99"/>
    <w:qFormat/>
    <w:rsid w:val="00A0671D"/>
    <w:rPr>
      <w:rFonts w:cs="OpenSymbol"/>
    </w:rPr>
  </w:style>
  <w:style w:type="character" w:customStyle="1" w:styleId="ListLabel100">
    <w:name w:val="ListLabel 100"/>
    <w:qFormat/>
    <w:rsid w:val="00A0671D"/>
    <w:rPr>
      <w:rFonts w:cs="OpenSymbol"/>
    </w:rPr>
  </w:style>
  <w:style w:type="character" w:customStyle="1" w:styleId="ListLabel101">
    <w:name w:val="ListLabel 101"/>
    <w:qFormat/>
    <w:rsid w:val="00A0671D"/>
    <w:rPr>
      <w:rFonts w:cs="OpenSymbol"/>
    </w:rPr>
  </w:style>
  <w:style w:type="character" w:customStyle="1" w:styleId="ListLabel102">
    <w:name w:val="ListLabel 102"/>
    <w:qFormat/>
    <w:rsid w:val="00A0671D"/>
    <w:rPr>
      <w:rFonts w:cs="OpenSymbol"/>
    </w:rPr>
  </w:style>
  <w:style w:type="character" w:customStyle="1" w:styleId="ListLabel103">
    <w:name w:val="ListLabel 103"/>
    <w:qFormat/>
    <w:rsid w:val="00A0671D"/>
    <w:rPr>
      <w:rFonts w:cs="OpenSymbol"/>
    </w:rPr>
  </w:style>
  <w:style w:type="character" w:customStyle="1" w:styleId="ListLabel104">
    <w:name w:val="ListLabel 104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105">
    <w:name w:val="ListLabel 105"/>
    <w:qFormat/>
    <w:rsid w:val="00A0671D"/>
    <w:rPr>
      <w:rFonts w:cs="OpenSymbol"/>
    </w:rPr>
  </w:style>
  <w:style w:type="character" w:customStyle="1" w:styleId="ListLabel106">
    <w:name w:val="ListLabel 106"/>
    <w:qFormat/>
    <w:rsid w:val="00A0671D"/>
    <w:rPr>
      <w:rFonts w:cs="OpenSymbol"/>
    </w:rPr>
  </w:style>
  <w:style w:type="character" w:customStyle="1" w:styleId="ListLabel107">
    <w:name w:val="ListLabel 107"/>
    <w:qFormat/>
    <w:rsid w:val="00A0671D"/>
    <w:rPr>
      <w:rFonts w:cs="OpenSymbol"/>
    </w:rPr>
  </w:style>
  <w:style w:type="character" w:customStyle="1" w:styleId="ListLabel108">
    <w:name w:val="ListLabel 108"/>
    <w:qFormat/>
    <w:rsid w:val="00A0671D"/>
    <w:rPr>
      <w:rFonts w:cs="OpenSymbol"/>
    </w:rPr>
  </w:style>
  <w:style w:type="character" w:customStyle="1" w:styleId="ListLabel109">
    <w:name w:val="ListLabel 109"/>
    <w:qFormat/>
    <w:rsid w:val="00A0671D"/>
    <w:rPr>
      <w:rFonts w:cs="OpenSymbol"/>
    </w:rPr>
  </w:style>
  <w:style w:type="character" w:customStyle="1" w:styleId="ListLabel110">
    <w:name w:val="ListLabel 110"/>
    <w:qFormat/>
    <w:rsid w:val="00A0671D"/>
    <w:rPr>
      <w:rFonts w:cs="OpenSymbol"/>
    </w:rPr>
  </w:style>
  <w:style w:type="character" w:customStyle="1" w:styleId="ListLabel111">
    <w:name w:val="ListLabel 111"/>
    <w:qFormat/>
    <w:rsid w:val="00A0671D"/>
    <w:rPr>
      <w:rFonts w:cs="OpenSymbol"/>
    </w:rPr>
  </w:style>
  <w:style w:type="character" w:customStyle="1" w:styleId="ListLabel112">
    <w:name w:val="ListLabel 112"/>
    <w:qFormat/>
    <w:rsid w:val="00A0671D"/>
    <w:rPr>
      <w:rFonts w:cs="OpenSymbol"/>
    </w:rPr>
  </w:style>
  <w:style w:type="character" w:customStyle="1" w:styleId="ListLabel113">
    <w:name w:val="ListLabel 113"/>
    <w:qFormat/>
    <w:rsid w:val="00A0671D"/>
    <w:rPr>
      <w:rFonts w:ascii="Times New Roman" w:hAnsi="Times New Roman" w:cs="OpenSymbol"/>
      <w:b w:val="0"/>
      <w:sz w:val="24"/>
    </w:rPr>
  </w:style>
  <w:style w:type="character" w:customStyle="1" w:styleId="ListLabel114">
    <w:name w:val="ListLabel 114"/>
    <w:qFormat/>
    <w:rsid w:val="00A0671D"/>
    <w:rPr>
      <w:rFonts w:cs="OpenSymbol"/>
    </w:rPr>
  </w:style>
  <w:style w:type="character" w:customStyle="1" w:styleId="ListLabel115">
    <w:name w:val="ListLabel 115"/>
    <w:qFormat/>
    <w:rsid w:val="00A0671D"/>
    <w:rPr>
      <w:rFonts w:cs="OpenSymbol"/>
    </w:rPr>
  </w:style>
  <w:style w:type="character" w:customStyle="1" w:styleId="ListLabel116">
    <w:name w:val="ListLabel 116"/>
    <w:qFormat/>
    <w:rsid w:val="00A0671D"/>
    <w:rPr>
      <w:rFonts w:cs="OpenSymbol"/>
    </w:rPr>
  </w:style>
  <w:style w:type="character" w:customStyle="1" w:styleId="ListLabel117">
    <w:name w:val="ListLabel 117"/>
    <w:qFormat/>
    <w:rsid w:val="00A0671D"/>
    <w:rPr>
      <w:rFonts w:cs="OpenSymbol"/>
    </w:rPr>
  </w:style>
  <w:style w:type="character" w:customStyle="1" w:styleId="ListLabel118">
    <w:name w:val="ListLabel 118"/>
    <w:qFormat/>
    <w:rsid w:val="00A0671D"/>
    <w:rPr>
      <w:rFonts w:cs="OpenSymbol"/>
    </w:rPr>
  </w:style>
  <w:style w:type="character" w:customStyle="1" w:styleId="ListLabel119">
    <w:name w:val="ListLabel 119"/>
    <w:qFormat/>
    <w:rsid w:val="00A0671D"/>
    <w:rPr>
      <w:rFonts w:cs="OpenSymbol"/>
    </w:rPr>
  </w:style>
  <w:style w:type="character" w:customStyle="1" w:styleId="ListLabel120">
    <w:name w:val="ListLabel 120"/>
    <w:qFormat/>
    <w:rsid w:val="00A0671D"/>
    <w:rPr>
      <w:rFonts w:cs="OpenSymbol"/>
    </w:rPr>
  </w:style>
  <w:style w:type="character" w:customStyle="1" w:styleId="ListLabel121">
    <w:name w:val="ListLabel 121"/>
    <w:qFormat/>
    <w:rsid w:val="00A0671D"/>
    <w:rPr>
      <w:rFonts w:cs="OpenSymbol"/>
    </w:rPr>
  </w:style>
  <w:style w:type="character" w:customStyle="1" w:styleId="ListLabel122">
    <w:name w:val="ListLabel 122"/>
    <w:qFormat/>
    <w:rPr>
      <w:rFonts w:cs="OpenSymbol"/>
      <w:b w:val="0"/>
      <w:sz w:val="24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  <w:b w:val="0"/>
      <w:sz w:val="24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  <w:b w:val="0"/>
      <w:sz w:val="24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  <w:b w:val="0"/>
      <w:sz w:val="24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  <w:b w:val="0"/>
      <w:sz w:val="24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  <w:b w:val="0"/>
      <w:sz w:val="24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paragraph" w:customStyle="1" w:styleId="a0">
    <w:name w:val="Заголовок"/>
    <w:basedOn w:val="a"/>
    <w:next w:val="a8"/>
    <w:qFormat/>
    <w:rsid w:val="00A067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46515E"/>
    <w:pPr>
      <w:overflowPunct w:val="0"/>
      <w:textAlignment w:val="auto"/>
    </w:pPr>
    <w:rPr>
      <w:sz w:val="28"/>
      <w:szCs w:val="24"/>
    </w:rPr>
  </w:style>
  <w:style w:type="paragraph" w:styleId="a9">
    <w:name w:val="List"/>
    <w:basedOn w:val="a8"/>
    <w:rsid w:val="00A0671D"/>
    <w:rPr>
      <w:rFonts w:cs="Mangal"/>
    </w:rPr>
  </w:style>
  <w:style w:type="paragraph" w:customStyle="1" w:styleId="1">
    <w:name w:val="Название объекта1"/>
    <w:basedOn w:val="a"/>
    <w:qFormat/>
    <w:rsid w:val="00A0671D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A0671D"/>
    <w:pPr>
      <w:suppressLineNumbers/>
    </w:pPr>
    <w:rPr>
      <w:rFonts w:cs="Mangal"/>
    </w:rPr>
  </w:style>
  <w:style w:type="paragraph" w:styleId="ab">
    <w:name w:val="caption"/>
    <w:basedOn w:val="a"/>
    <w:uiPriority w:val="35"/>
    <w:unhideWhenUsed/>
    <w:qFormat/>
    <w:rsid w:val="0046515E"/>
    <w:pPr>
      <w:jc w:val="center"/>
    </w:pPr>
    <w:rPr>
      <w:b/>
      <w:bCs/>
    </w:rPr>
  </w:style>
  <w:style w:type="paragraph" w:styleId="ac">
    <w:name w:val="No Spacing"/>
    <w:uiPriority w:val="1"/>
    <w:qFormat/>
    <w:rsid w:val="0046515E"/>
    <w:pPr>
      <w:textAlignment w:val="baseline"/>
    </w:pPr>
    <w:rPr>
      <w:rFonts w:ascii="Times NRC Cyril" w:eastAsia="Times New Roman" w:hAnsi="Times NRC Cyril" w:cs="Times New Roman"/>
      <w:color w:val="00000A"/>
      <w:sz w:val="28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FB1C6A"/>
    <w:pPr>
      <w:overflowPunct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e">
    <w:name w:val="Содержимое таблицы"/>
    <w:basedOn w:val="a"/>
    <w:qFormat/>
    <w:rsid w:val="00A0671D"/>
  </w:style>
  <w:style w:type="paragraph" w:customStyle="1" w:styleId="af">
    <w:name w:val="Заголовок таблицы"/>
    <w:basedOn w:val="ae"/>
    <w:qFormat/>
    <w:rsid w:val="00A0671D"/>
  </w:style>
  <w:style w:type="paragraph" w:customStyle="1" w:styleId="Default">
    <w:name w:val="Default"/>
    <w:qFormat/>
    <w:rsid w:val="00A0671D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Style2">
    <w:name w:val="Style2"/>
    <w:basedOn w:val="a"/>
    <w:qFormat/>
    <w:rsid w:val="00A0671D"/>
    <w:pPr>
      <w:widowControl w:val="0"/>
      <w:spacing w:line="337" w:lineRule="exact"/>
      <w:ind w:firstLine="610"/>
      <w:jc w:val="both"/>
    </w:pPr>
    <w:rPr>
      <w:szCs w:val="24"/>
    </w:rPr>
  </w:style>
  <w:style w:type="paragraph" w:customStyle="1" w:styleId="ConsPlusNormal">
    <w:name w:val="ConsPlusNormal"/>
    <w:qFormat/>
    <w:rsid w:val="00A0671D"/>
    <w:pPr>
      <w:widowControl w:val="0"/>
    </w:pPr>
    <w:rPr>
      <w:rFonts w:ascii="Calibri" w:eastAsia="Courier New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A0671D"/>
    <w:pPr>
      <w:widowControl w:val="0"/>
    </w:pPr>
    <w:rPr>
      <w:rFonts w:ascii="Calibri" w:eastAsia="Courier New" w:hAnsi="Calibri" w:cs="Calibri"/>
      <w:b/>
      <w:color w:val="00000A"/>
      <w:sz w:val="22"/>
      <w:szCs w:val="20"/>
      <w:lang w:eastAsia="ru-RU"/>
    </w:rPr>
  </w:style>
  <w:style w:type="paragraph" w:customStyle="1" w:styleId="txt">
    <w:name w:val="txt"/>
    <w:basedOn w:val="a"/>
    <w:qFormat/>
    <w:rsid w:val="00A0671D"/>
    <w:pPr>
      <w:spacing w:before="280" w:after="2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armacopoeia.ru/ofs-1-1-0011-15-hranenie-lekarstvennogo-rastitelnogo-syrya-i-lekarstvennyh-rastitelnyh-preparatov/" TargetMode="External"/><Relationship Id="rId18" Type="http://schemas.openxmlformats.org/officeDocument/2006/relationships/hyperlink" Target="http://www.consultant.ru/document/cons_doc_LAW_347887/ff81d936f6d520ba5f0c87997d6a56305b659b17/" TargetMode="External"/><Relationship Id="rId26" Type="http://schemas.openxmlformats.org/officeDocument/2006/relationships/hyperlink" Target="http://www.consultant.ru/document/cons_doc_LAW_330166/71dd5d32cf245afd46c9ad89a64e6acc23231ecd/" TargetMode="External"/><Relationship Id="rId39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21" Type="http://schemas.openxmlformats.org/officeDocument/2006/relationships/hyperlink" Target="http://www.consultant.ru/document/cons_doc_LAW_347887/ff81d936f6d520ba5f0c87997d6a56305b659b17/" TargetMode="External"/><Relationship Id="rId34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42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47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50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55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3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8" Type="http://schemas.openxmlformats.org/officeDocument/2006/relationships/hyperlink" Target="https://normativ.kontur.ru/document?moduleid=1&amp;documentid=259835" TargetMode="External"/><Relationship Id="rId76" Type="http://schemas.openxmlformats.org/officeDocument/2006/relationships/hyperlink" Target="http://topuch.ru/zakon-o-zashite-prav-potrebitelej-v2/index.htm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normativ.kontur.ru/document?moduleid=1&amp;documentid=3188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harmacopoeia.ru/gosudarstvennaya-farmakopeya-xiii-online-gf-13-online/ofs-1-1-0004-15-otbor-prob/" TargetMode="External"/><Relationship Id="rId29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11" Type="http://schemas.openxmlformats.org/officeDocument/2006/relationships/hyperlink" Target="https://fstec.ru/" TargetMode="External"/><Relationship Id="rId24" Type="http://schemas.openxmlformats.org/officeDocument/2006/relationships/hyperlink" Target="http://www.consultant.ru/document/cons_doc_LAW_347887/ff81d936f6d520ba5f0c87997d6a56305b659b17/" TargetMode="External"/><Relationship Id="rId32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37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40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45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53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58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6" Type="http://schemas.openxmlformats.org/officeDocument/2006/relationships/hyperlink" Target="consultantplus://offline/ref=548D363405A05B45454FC04EB5C497A4D90B764D1355E16890C8F991DC7EDF597FFFBEE58D7BF7F0A2FDE139E6Q0I5K" TargetMode="External"/><Relationship Id="rId74" Type="http://schemas.openxmlformats.org/officeDocument/2006/relationships/hyperlink" Target="http://topuch.ru/voprosi-dlya-samopodgotovki-k-ekzamenu-po-discipline-siree-i-m/index.htm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onsultant.ru/document/cons_doc_LAW_347887/930d574c211e4a71b8d0e0b70dc5238ab45a0ea8/" TargetMode="External"/><Relationship Id="rId31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44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52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0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5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73" Type="http://schemas.openxmlformats.org/officeDocument/2006/relationships/hyperlink" Target="https://normativ.kontur.ru/document?moduleid=1&amp;documentid=260004" TargetMode="External"/><Relationship Id="rId78" Type="http://schemas.openxmlformats.org/officeDocument/2006/relationships/hyperlink" Target="http://topuch.ru/1-informaciya-svojstva-informacii--dinamicheskie-atributivni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pharmacopoeia.ru/gosudarstvennaya-farmakopeya-xiii-online-gf-13-online/ofs-1-1-0004-15-otbor-prob/" TargetMode="External"/><Relationship Id="rId22" Type="http://schemas.openxmlformats.org/officeDocument/2006/relationships/hyperlink" Target="http://www.consultant.ru/document/cons_doc_LAW_347887/930d574c211e4a71b8d0e0b70dc5238ab45a0ea8/" TargetMode="External"/><Relationship Id="rId27" Type="http://schemas.openxmlformats.org/officeDocument/2006/relationships/hyperlink" Target="https://meridiant.ru/marking-packaging-machine-for-medicine/" TargetMode="External"/><Relationship Id="rId30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35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43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48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56" Type="http://schemas.openxmlformats.org/officeDocument/2006/relationships/hyperlink" Target="consultantplus://offline/ref=548D363405A05B45454FC957B2C497A4DC0070401351E16890C8F991DC7EDF596DFFE6E98D7DE9F1A5E8B768A0506BE9F0C8C75180DD00A7QEIFK" TargetMode="External"/><Relationship Id="rId64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9" Type="http://schemas.openxmlformats.org/officeDocument/2006/relationships/hyperlink" Target="https://normativ.kontur.ru/document?moduleid=1&amp;documentid=259835" TargetMode="External"/><Relationship Id="rId77" Type="http://schemas.openxmlformats.org/officeDocument/2006/relationships/hyperlink" Target="http://topuch.ru/issledovateleskaya-rabota-analiz-trebovanij-tehnicheskogo-regl/index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72" Type="http://schemas.openxmlformats.org/officeDocument/2006/relationships/hyperlink" Target="https://normativ.kontur.ru/document?moduleid=1&amp;documentid=260004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fmbaros.ru/" TargetMode="External"/><Relationship Id="rId17" Type="http://schemas.openxmlformats.org/officeDocument/2006/relationships/hyperlink" Target="http://pharmacopoeia.ru/gosudarstvennaya-farmakopeya-xiii-online-gf-13-online/ofs-1-1-0004-15-otbor-prob/" TargetMode="External"/><Relationship Id="rId25" Type="http://schemas.openxmlformats.org/officeDocument/2006/relationships/hyperlink" Target="http://www.consultant.ru/document/cons_doc_LAW_347887/930d574c211e4a71b8d0e0b70dc5238ab45a0ea8/" TargetMode="External"/><Relationship Id="rId33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38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46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59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7" Type="http://schemas.openxmlformats.org/officeDocument/2006/relationships/hyperlink" Target="http://www.consultant.ru/document/cons_doc_LAW_304849/" TargetMode="External"/><Relationship Id="rId20" Type="http://schemas.openxmlformats.org/officeDocument/2006/relationships/hyperlink" Target="http://www.consultant.ru/document/cons_doc_LAW_330166/71dd5d32cf245afd46c9ad89a64e6acc23231ecd/" TargetMode="External"/><Relationship Id="rId41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54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62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70" Type="http://schemas.openxmlformats.org/officeDocument/2006/relationships/hyperlink" Target="https://normativ.kontur.ru/document?moduleid=1&amp;documentid=306016" TargetMode="External"/><Relationship Id="rId75" Type="http://schemas.openxmlformats.org/officeDocument/2006/relationships/hyperlink" Target="http://topuch.ru/5-tehniki-izvlecheniya-trebovanij-elicitation-techniques-proce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1810/" TargetMode="External"/><Relationship Id="rId15" Type="http://schemas.openxmlformats.org/officeDocument/2006/relationships/hyperlink" Target="http://pharmacopoeia.ru/gosudarstvennaya-farmakopeya-xiii-online-gf-13-online/ofs-1-1-0004-15-otbor-prob/" TargetMode="External"/><Relationship Id="rId23" Type="http://schemas.openxmlformats.org/officeDocument/2006/relationships/hyperlink" Target="http://www.consultant.ru/document/cons_doc_LAW_330166/71dd5d32cf245afd46c9ad89a64e6acc23231ecd/" TargetMode="External"/><Relationship Id="rId28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36" Type="http://schemas.openxmlformats.org/officeDocument/2006/relationships/hyperlink" Target="consultantplus://offline/ref=548D363405A05B45454FC957B2C497A4DD0B764C1256E16890C8F991DC7EDF596DFFE6E98D7DEAF1A5E8B768A0506BE9F0C8C75180DD00A7QEIFK" TargetMode="External"/><Relationship Id="rId49" Type="http://schemas.openxmlformats.org/officeDocument/2006/relationships/hyperlink" Target="consultantplus://offline/ref=548D363405A05B45454FC957B2C497A4DD0B764C1256E16890C8F991DC7EDF596DFFE6E98D7DE8F7A8E8B768A0506BE9F0C8C75180DD00A7QEIFK" TargetMode="External"/><Relationship Id="rId57" Type="http://schemas.openxmlformats.org/officeDocument/2006/relationships/hyperlink" Target="consultantplus://offline/ref=548D363405A05B45454FC957B2C497A4DC0070401351E16890C8F991DC7EDF596DFFE6E98D7DE9F1A5E8B768A0506BE9F0C8C75180DD00A7QE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34430</Words>
  <Characters>196252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Трапкова Алла Аркадьевна</dc:creator>
  <cp:lastModifiedBy>Nitrium</cp:lastModifiedBy>
  <cp:revision>3</cp:revision>
  <dcterms:created xsi:type="dcterms:W3CDTF">2020-05-19T13:50:00Z</dcterms:created>
  <dcterms:modified xsi:type="dcterms:W3CDTF">2020-05-19T13:50:00Z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